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2C098" w14:textId="77777777" w:rsidR="00EB400F" w:rsidRPr="002F72F0" w:rsidRDefault="00EB400F" w:rsidP="00EB400F">
      <w:pPr>
        <w:pStyle w:val="NoSpacing"/>
        <w:jc w:val="center"/>
        <w:rPr>
          <w:rFonts w:ascii="Arial Narrow" w:eastAsiaTheme="minorEastAsia" w:hAnsi="Arial Narrow" w:cs="Times New Roman"/>
          <w:b/>
          <w:sz w:val="24"/>
          <w:szCs w:val="24"/>
          <w:lang w:val="es-CO" w:eastAsia="ko-KR"/>
        </w:rPr>
      </w:pPr>
      <w:r w:rsidRPr="002F72F0">
        <w:rPr>
          <w:rFonts w:ascii="Arial Narrow" w:eastAsiaTheme="minorEastAsia" w:hAnsi="Arial Narrow" w:cs="Times New Roman"/>
          <w:b/>
          <w:sz w:val="24"/>
          <w:szCs w:val="24"/>
          <w:lang w:val="es-CO" w:eastAsia="ko-KR"/>
        </w:rPr>
        <w:t>Semilleros de Asociatividad. Implementación de Escuelas de Asociatividad- EscAs</w:t>
      </w:r>
    </w:p>
    <w:p w14:paraId="4CB373CA" w14:textId="77777777" w:rsidR="00EB400F" w:rsidRPr="002F72F0" w:rsidRDefault="00EB400F" w:rsidP="00EB400F">
      <w:pPr>
        <w:pStyle w:val="NoSpacing"/>
        <w:jc w:val="center"/>
        <w:rPr>
          <w:rFonts w:ascii="Arial Narrow" w:eastAsiaTheme="minorEastAsia" w:hAnsi="Arial Narrow" w:cs="Times New Roman"/>
          <w:b/>
          <w:sz w:val="24"/>
          <w:szCs w:val="24"/>
          <w:lang w:val="es-CO" w:eastAsia="ko-KR"/>
        </w:rPr>
      </w:pPr>
      <w:r w:rsidRPr="002F72F0">
        <w:rPr>
          <w:rFonts w:ascii="Arial Narrow" w:eastAsiaTheme="minorEastAsia" w:hAnsi="Arial Narrow" w:cs="Times New Roman"/>
          <w:b/>
          <w:sz w:val="24"/>
          <w:szCs w:val="24"/>
          <w:lang w:val="es-CO" w:eastAsia="ko-KR"/>
        </w:rPr>
        <w:t>“Hacía la construcción de redes generadoras de valor"</w:t>
      </w:r>
    </w:p>
    <w:p w14:paraId="1B6DEDCB" w14:textId="77777777" w:rsidR="00EB400F" w:rsidRDefault="00EB400F" w:rsidP="00EB400F">
      <w:pPr>
        <w:pStyle w:val="NoSpacing"/>
        <w:jc w:val="both"/>
        <w:rPr>
          <w:rFonts w:ascii="Arial Narrow" w:eastAsiaTheme="minorEastAsia" w:hAnsi="Arial Narrow" w:cs="Times New Roman"/>
          <w:sz w:val="24"/>
          <w:szCs w:val="24"/>
          <w:lang w:val="es-CO" w:eastAsia="ko-KR"/>
        </w:rPr>
      </w:pPr>
    </w:p>
    <w:p w14:paraId="63483D51" w14:textId="77777777" w:rsidR="00EB400F" w:rsidRDefault="00EB400F" w:rsidP="00EB400F">
      <w:pPr>
        <w:pStyle w:val="NoSpacing"/>
        <w:jc w:val="both"/>
        <w:rPr>
          <w:rFonts w:ascii="Arial Narrow" w:eastAsiaTheme="minorEastAsia" w:hAnsi="Arial Narrow" w:cs="Times New Roman"/>
          <w:sz w:val="24"/>
          <w:szCs w:val="24"/>
          <w:lang w:val="es-CO" w:eastAsia="ko-KR"/>
        </w:rPr>
      </w:pPr>
      <w:r w:rsidRPr="004A331F">
        <w:rPr>
          <w:rFonts w:ascii="Arial Narrow" w:eastAsiaTheme="minorEastAsia" w:hAnsi="Arial Narrow" w:cs="Times New Roman"/>
          <w:sz w:val="24"/>
          <w:szCs w:val="24"/>
          <w:lang w:val="es-CO" w:eastAsia="ko-KR"/>
        </w:rPr>
        <w:t xml:space="preserve">Los Semilleros de Asociatividad son un conjunto de iniciativas con potencial de impulsar procesos regionales, identificados por actores con injerencia territorial. La forma operativa en que se desarrollan es mediante Escuelas de Asociatividad. </w:t>
      </w:r>
    </w:p>
    <w:p w14:paraId="65652B95" w14:textId="77777777" w:rsidR="00EB400F" w:rsidRPr="004A331F" w:rsidRDefault="00EB400F" w:rsidP="00EB400F">
      <w:pPr>
        <w:pStyle w:val="NoSpacing"/>
        <w:jc w:val="both"/>
        <w:rPr>
          <w:rFonts w:ascii="Arial Narrow" w:eastAsiaTheme="minorEastAsia" w:hAnsi="Arial Narrow" w:cs="Times New Roman"/>
          <w:sz w:val="24"/>
          <w:szCs w:val="24"/>
          <w:lang w:val="es-CO" w:eastAsia="ko-KR"/>
        </w:rPr>
      </w:pPr>
    </w:p>
    <w:p w14:paraId="7545E731" w14:textId="77777777" w:rsidR="00EB400F" w:rsidRDefault="00EB400F" w:rsidP="00EB400F">
      <w:pPr>
        <w:pStyle w:val="NoSpacing"/>
        <w:jc w:val="both"/>
        <w:rPr>
          <w:rFonts w:ascii="Arial Narrow" w:eastAsiaTheme="minorEastAsia" w:hAnsi="Arial Narrow" w:cs="Times New Roman"/>
          <w:sz w:val="24"/>
          <w:szCs w:val="24"/>
          <w:lang w:val="es-CO" w:eastAsia="ko-KR"/>
        </w:rPr>
      </w:pPr>
      <w:r w:rsidRPr="004A331F">
        <w:rPr>
          <w:rFonts w:ascii="Arial Narrow" w:eastAsiaTheme="minorEastAsia" w:hAnsi="Arial Narrow" w:cs="Times New Roman"/>
          <w:sz w:val="24"/>
          <w:szCs w:val="24"/>
          <w:lang w:val="es-CO" w:eastAsia="ko-KR"/>
        </w:rPr>
        <w:t>Las Escuelas de Asociatividad (EscAs): Son una estrategia para el fortalecimiento de las capacidades personales, organizacionales e institucionales, en la identificación y aprovechamiento de oportunidades sostenibles de desarrollo de los pobladores de los territorios rurales.</w:t>
      </w:r>
    </w:p>
    <w:p w14:paraId="15C32A81" w14:textId="77777777" w:rsidR="00EB400F" w:rsidRDefault="00EB400F" w:rsidP="00EB400F">
      <w:pPr>
        <w:pStyle w:val="NoSpacing"/>
        <w:ind w:left="708"/>
        <w:jc w:val="both"/>
        <w:rPr>
          <w:rFonts w:ascii="Arial Narrow" w:eastAsiaTheme="minorEastAsia" w:hAnsi="Arial Narrow" w:cs="Times New Roman"/>
          <w:sz w:val="24"/>
          <w:szCs w:val="24"/>
          <w:lang w:val="es-CO" w:eastAsia="ko-KR"/>
        </w:rPr>
      </w:pPr>
      <w:r w:rsidRPr="002A5250">
        <w:rPr>
          <w:rFonts w:ascii="Arial Narrow" w:eastAsiaTheme="minorEastAsia" w:hAnsi="Arial Narrow" w:cs="Times New Roman"/>
          <w:sz w:val="24"/>
          <w:szCs w:val="24"/>
          <w:lang w:val="es-CO" w:eastAsia="ko-KR"/>
        </w:rPr>
        <w:t xml:space="preserve">El desarrollo de la estrategia incluye: </w:t>
      </w:r>
      <w:r w:rsidRPr="004A331F">
        <w:rPr>
          <w:rFonts w:ascii="Arial Narrow" w:eastAsiaTheme="minorEastAsia" w:hAnsi="Arial Narrow" w:cs="Times New Roman"/>
          <w:sz w:val="24"/>
          <w:szCs w:val="24"/>
          <w:lang w:val="es-CO" w:eastAsia="ko-KR"/>
        </w:rPr>
        <w:t>Herramientas de diagnóstico interno de las organizaciones, el análisis de las perspectivas de mercado de los productos propuestos, La identificación de las redes de innovación en torno al Proyecto, el análisis de fuentes de financiamiento público, privados o proveniente de organismos nacionales e internacionales.</w:t>
      </w:r>
    </w:p>
    <w:p w14:paraId="7B425952" w14:textId="77777777" w:rsidR="00EB400F" w:rsidRDefault="00EB400F" w:rsidP="00EB400F">
      <w:pPr>
        <w:pStyle w:val="NoSpacing"/>
        <w:jc w:val="both"/>
        <w:rPr>
          <w:rFonts w:ascii="Arial Narrow" w:eastAsiaTheme="minorEastAsia" w:hAnsi="Arial Narrow" w:cs="Times New Roman"/>
          <w:sz w:val="24"/>
          <w:szCs w:val="24"/>
          <w:lang w:val="es-CO" w:eastAsia="ko-KR"/>
        </w:rPr>
      </w:pPr>
    </w:p>
    <w:p w14:paraId="3B69A36A" w14:textId="77777777" w:rsidR="00EB400F" w:rsidRPr="00305E01" w:rsidRDefault="00EB400F" w:rsidP="00EB400F">
      <w:pPr>
        <w:pStyle w:val="NoSpacing"/>
        <w:jc w:val="both"/>
        <w:rPr>
          <w:rFonts w:ascii="Arial Narrow" w:eastAsiaTheme="minorEastAsia" w:hAnsi="Arial Narrow" w:cs="Times New Roman"/>
          <w:b/>
          <w:sz w:val="24"/>
          <w:szCs w:val="24"/>
          <w:lang w:val="es-CO" w:eastAsia="ko-KR"/>
        </w:rPr>
      </w:pPr>
      <w:r w:rsidRPr="00305E01">
        <w:rPr>
          <w:rFonts w:ascii="Arial Narrow" w:eastAsiaTheme="minorEastAsia" w:hAnsi="Arial Narrow" w:cs="Times New Roman"/>
          <w:b/>
          <w:sz w:val="24"/>
          <w:szCs w:val="24"/>
          <w:lang w:val="es-CO" w:eastAsia="ko-KR"/>
        </w:rPr>
        <w:t>Generalidades:</w:t>
      </w:r>
    </w:p>
    <w:p w14:paraId="5EAEE077" w14:textId="77777777" w:rsidR="00EB400F" w:rsidRDefault="00EB400F" w:rsidP="00EB400F">
      <w:pPr>
        <w:pStyle w:val="NoSpacing"/>
        <w:ind w:left="708"/>
        <w:jc w:val="both"/>
      </w:pPr>
    </w:p>
    <w:p w14:paraId="75E60F97" w14:textId="77777777" w:rsidR="00EB400F" w:rsidRPr="006F021C" w:rsidRDefault="00EB400F" w:rsidP="00EB400F">
      <w:pPr>
        <w:pStyle w:val="ListParagraph"/>
      </w:pPr>
      <w:r>
        <w:t>Se basa en la</w:t>
      </w:r>
      <w:r w:rsidRPr="00476D7E">
        <w:t xml:space="preserve"> articulación institucional donde confluyen los actores involucrados en una actividad económica, de interés social, bajo los principios señalados en la Ley que crea el Sistema Nacional de Innovación Agropecuaria. </w:t>
      </w:r>
    </w:p>
    <w:p w14:paraId="15F1164F" w14:textId="77777777" w:rsidR="00EB400F" w:rsidRDefault="00EB400F" w:rsidP="00EB400F">
      <w:pPr>
        <w:pStyle w:val="ListParagraph"/>
      </w:pPr>
      <w:r>
        <w:t xml:space="preserve">Se lograra fortalecer  lazos de confianza y </w:t>
      </w:r>
      <w:r w:rsidRPr="003D60D8">
        <w:t>empoderamiento</w:t>
      </w:r>
      <w:r>
        <w:t>,</w:t>
      </w:r>
      <w:r w:rsidRPr="003D60D8">
        <w:t xml:space="preserve"> </w:t>
      </w:r>
      <w:r>
        <w:t>que busca p</w:t>
      </w:r>
      <w:r w:rsidRPr="00ED1B55">
        <w:t>otenciar para empoderar</w:t>
      </w:r>
      <w:r>
        <w:t xml:space="preserve"> y que las organizaciones sean capaces de gestionar recursos</w:t>
      </w:r>
      <w:r w:rsidRPr="00ED1B55">
        <w:t xml:space="preserve"> </w:t>
      </w:r>
      <w:r>
        <w:t>propios y externos, incluyendo recursos de</w:t>
      </w:r>
      <w:r w:rsidRPr="00ED1B55">
        <w:t xml:space="preserve"> </w:t>
      </w:r>
      <w:r>
        <w:t xml:space="preserve">los </w:t>
      </w:r>
      <w:r w:rsidRPr="00ED1B55">
        <w:t>PIDAR</w:t>
      </w:r>
      <w:r>
        <w:t>, como de otras instituciones</w:t>
      </w:r>
      <w:r w:rsidRPr="00ED1B55">
        <w:t>.</w:t>
      </w:r>
      <w:r>
        <w:t xml:space="preserve"> </w:t>
      </w:r>
    </w:p>
    <w:p w14:paraId="5CF19151" w14:textId="77777777" w:rsidR="00EB400F" w:rsidRDefault="00EB400F" w:rsidP="00EB400F">
      <w:pPr>
        <w:pStyle w:val="ListParagraph"/>
      </w:pPr>
      <w:r>
        <w:t>Debe promoverse a través de</w:t>
      </w:r>
      <w:r w:rsidRPr="003D60D8">
        <w:t xml:space="preserve"> modelo</w:t>
      </w:r>
      <w:r>
        <w:t>s</w:t>
      </w:r>
      <w:r w:rsidRPr="003D60D8">
        <w:t xml:space="preserve"> de acompañamiento</w:t>
      </w:r>
      <w:r>
        <w:t xml:space="preserve"> integral que faciliten el trabajo colectivo</w:t>
      </w:r>
      <w:r w:rsidRPr="003D60D8">
        <w:t xml:space="preserve"> y </w:t>
      </w:r>
      <w:r>
        <w:t>el intercambio de saberes y experiencias entre</w:t>
      </w:r>
      <w:r w:rsidRPr="003D60D8">
        <w:t xml:space="preserve"> actores territoriales</w:t>
      </w:r>
      <w:r>
        <w:t>, que trascienda el componente productivo/comercial</w:t>
      </w:r>
      <w:r w:rsidRPr="003D60D8">
        <w:t>.</w:t>
      </w:r>
    </w:p>
    <w:p w14:paraId="3A60A83E" w14:textId="77777777" w:rsidR="00EB400F" w:rsidRPr="00476D7E" w:rsidRDefault="00EB400F" w:rsidP="00EB400F">
      <w:pPr>
        <w:pStyle w:val="ListParagraph"/>
      </w:pPr>
      <w:r>
        <w:t>E</w:t>
      </w:r>
      <w:r w:rsidRPr="00476D7E">
        <w:t xml:space="preserve">s la integración </w:t>
      </w:r>
      <w:r>
        <w:t>d</w:t>
      </w:r>
      <w:r w:rsidRPr="00476D7E">
        <w:t xml:space="preserve">e los actores relacionados en torno a una serie de actividades económicas y sociales en un territorio. </w:t>
      </w:r>
    </w:p>
    <w:p w14:paraId="292327DE" w14:textId="77777777" w:rsidR="00EB400F" w:rsidRPr="00476D7E" w:rsidRDefault="00EB400F" w:rsidP="00EB400F">
      <w:pPr>
        <w:pStyle w:val="ListParagraph"/>
        <w:rPr>
          <w:lang w:val="es-ES"/>
        </w:rPr>
      </w:pPr>
      <w:r>
        <w:t xml:space="preserve">Se genera </w:t>
      </w:r>
      <w:r w:rsidRPr="00476D7E">
        <w:t xml:space="preserve"> fortalecimiento de la institucionalidad local y el dinamismo de las economías regionales que pueden beneficiar a otras iniciativas similares.</w:t>
      </w:r>
      <w:r>
        <w:t xml:space="preserve"> </w:t>
      </w:r>
    </w:p>
    <w:p w14:paraId="44BD4537" w14:textId="77777777" w:rsidR="00EB400F" w:rsidRDefault="00EB400F" w:rsidP="00EB400F">
      <w:pPr>
        <w:pStyle w:val="ListParagraph"/>
        <w:rPr>
          <w:lang w:val="es-ES"/>
        </w:rPr>
      </w:pPr>
      <w:r>
        <w:t>P</w:t>
      </w:r>
      <w:r w:rsidRPr="00476D7E">
        <w:t>arten del principio de trabajo en red</w:t>
      </w:r>
      <w:r>
        <w:t xml:space="preserve">, </w:t>
      </w:r>
      <w:r w:rsidRPr="00476D7E">
        <w:t xml:space="preserve"> a</w:t>
      </w:r>
      <w:r>
        <w:t>rticula competencias y recursos y favorec</w:t>
      </w:r>
      <w:r w:rsidRPr="00476D7E">
        <w:t xml:space="preserve">e el </w:t>
      </w:r>
      <w:r w:rsidRPr="00476D7E">
        <w:rPr>
          <w:lang w:val="es-ES"/>
        </w:rPr>
        <w:t>surgimiento de emprendimientos sostenibles desde lo local.</w:t>
      </w:r>
    </w:p>
    <w:p w14:paraId="2C153975" w14:textId="77777777" w:rsidR="00EB400F" w:rsidRPr="00110CA1" w:rsidRDefault="00EB400F" w:rsidP="00EB400F">
      <w:pPr>
        <w:pStyle w:val="ListParagraph"/>
        <w:rPr>
          <w:highlight w:val="yellow"/>
        </w:rPr>
      </w:pPr>
      <w:r w:rsidRPr="009922B1">
        <w:t xml:space="preserve">La apropiación local es en sí un elemento central en la operación de las Escuelas. </w:t>
      </w:r>
      <w:r w:rsidRPr="00110CA1">
        <w:rPr>
          <w:highlight w:val="yellow"/>
          <w:lang w:val="es-ES"/>
        </w:rPr>
        <w:t>Podrán operar con un acompañamiento técnico, organizativo y financiero en</w:t>
      </w:r>
      <w:r w:rsidRPr="00110CA1">
        <w:rPr>
          <w:highlight w:val="yellow"/>
        </w:rPr>
        <w:t xml:space="preserve"> un ciclo de operación con una duración mínima de 6 meses y máxima de un año. </w:t>
      </w:r>
    </w:p>
    <w:p w14:paraId="4549F540" w14:textId="77777777" w:rsidR="00EB400F" w:rsidRPr="004A331F" w:rsidRDefault="00EB400F" w:rsidP="00EB400F">
      <w:pPr>
        <w:pStyle w:val="ListParagraph"/>
        <w:rPr>
          <w:lang w:val="es-ES_tradnl"/>
        </w:rPr>
      </w:pPr>
      <w:r w:rsidRPr="009922B1">
        <w:t>Los proyectos productivos que se formulan desde la Agencia de Desarrollo Rural (ADR) podrán considerarse como medio de financiamiento de las EscAs o al menos su posible articulación como capital semilla. Así, cada Escuela de Asociatividad tendrá un proceso de graduación o de independencia operativa, por lo cual, esta situación deberá considerarse desde su planteamiento. Esta independencia aporta elementos al proceso de escalamiento; es decir, al surgimiento de nuevas escuelas con base en los principios que sostienen el planteamiento original.</w:t>
      </w:r>
      <w:r>
        <w:t xml:space="preserve"> </w:t>
      </w:r>
    </w:p>
    <w:p w14:paraId="4152777C" w14:textId="77777777" w:rsidR="00EB400F" w:rsidRDefault="00EB400F" w:rsidP="00EB400F">
      <w:pPr>
        <w:pStyle w:val="ListParagraph"/>
      </w:pPr>
      <w:r>
        <w:t>Las EscAs presentan su mayor fortaleza estratégica en asignar un papel central a las comunidades, a las organizaciones sociales y a</w:t>
      </w:r>
      <w:r w:rsidRPr="00531F6E">
        <w:t xml:space="preserve"> la inst</w:t>
      </w:r>
      <w:r>
        <w:t xml:space="preserve">itucionalidad local, lo que contribuye a </w:t>
      </w:r>
      <w:r>
        <w:lastRenderedPageBreak/>
        <w:t xml:space="preserve">fortalecer </w:t>
      </w:r>
      <w:r w:rsidRPr="00531F6E">
        <w:t>el tejido social</w:t>
      </w:r>
      <w:r>
        <w:t xml:space="preserve"> y económico, la cultura del diá</w:t>
      </w:r>
      <w:r w:rsidRPr="00531F6E">
        <w:t>logo, la con</w:t>
      </w:r>
      <w:r>
        <w:t xml:space="preserve">vivencia y </w:t>
      </w:r>
      <w:r w:rsidRPr="00531F6E">
        <w:t xml:space="preserve">la democracia local, bajo </w:t>
      </w:r>
      <w:r>
        <w:t xml:space="preserve">el </w:t>
      </w:r>
      <w:r w:rsidRPr="00531F6E">
        <w:t>enfo</w:t>
      </w:r>
      <w:r>
        <w:t>que de desarrollo territorial.</w:t>
      </w:r>
    </w:p>
    <w:p w14:paraId="13BEA4B8" w14:textId="77777777" w:rsidR="00EB400F" w:rsidRDefault="00EB400F" w:rsidP="00EB400F">
      <w:pPr>
        <w:pStyle w:val="ListParagraph"/>
      </w:pPr>
      <w:r>
        <w:t>S</w:t>
      </w:r>
      <w:r w:rsidRPr="00F9460D">
        <w:t>urgen en territorios donde se identifican los siguientes elementos: Voluntariedad para el desarrollo de capacidades, rendimientos técnicos y financieros, existencia actual o potencial de organizaciones dinamizadoras de la asociatividad, independencia financiera máximo a los tres ciclos de operación, y la integración de entidades públicas y privadas en torno al proyecto. La no existencia de alguna de estas condiciones indica la necesidad de desarrollarlas, no la discriminación de una iniciativa por no presentar alguna de ellas.</w:t>
      </w:r>
    </w:p>
    <w:p w14:paraId="13C1E410" w14:textId="77777777" w:rsidR="00EB400F" w:rsidRDefault="00EB400F" w:rsidP="00EB400F">
      <w:pPr>
        <w:pStyle w:val="ListParagraph"/>
      </w:pPr>
      <w:r w:rsidRPr="00821E3A">
        <w:t xml:space="preserve">Una EscAs es en sí una entidad plural, democrática, incluyente (de mujeres, jóvenes y demás grupos normalmente no incluidos en este tipo de iniciativas) y orientada a resultados que utiliza los servicios de extensión que otros actores le pueden otorgar para </w:t>
      </w:r>
      <w:r>
        <w:t>empoderarse.</w:t>
      </w:r>
    </w:p>
    <w:p w14:paraId="1056FCA7" w14:textId="77777777" w:rsidR="00EB400F" w:rsidRDefault="00EB400F" w:rsidP="00EB400F">
      <w:pPr>
        <w:pStyle w:val="ListParagraph"/>
      </w:pPr>
      <w:r>
        <w:t xml:space="preserve">Las Escuelas incorporan el enfoque territorial, el enfoque de derechos; enfoque </w:t>
      </w:r>
      <w:r w:rsidRPr="00A6006C">
        <w:t>diferencial</w:t>
      </w:r>
      <w:r>
        <w:t>; enfoque de género; procesos participativos; r</w:t>
      </w:r>
      <w:r w:rsidRPr="00A6006C">
        <w:t xml:space="preserve">elevo generacional y jóvenes como generadores </w:t>
      </w:r>
      <w:r>
        <w:t xml:space="preserve">de cambio en las organizaciones; </w:t>
      </w:r>
      <w:r w:rsidRPr="00A6006C">
        <w:t>Inclusión de las escuelas en los planes, programas y estrategias de las instituciones a n</w:t>
      </w:r>
      <w:r>
        <w:t xml:space="preserve">ivel local, regional y Nacional, </w:t>
      </w:r>
      <w:r w:rsidRPr="00A6006C">
        <w:t>Identificación de los factores de éxito y lecciones ap</w:t>
      </w:r>
      <w:r>
        <w:t>rendidas de otras experiencias, c</w:t>
      </w:r>
      <w:r w:rsidRPr="00A6006C">
        <w:t xml:space="preserve">onstrucción de plataformas de </w:t>
      </w:r>
      <w:bookmarkStart w:id="0" w:name="_GoBack"/>
      <w:bookmarkEnd w:id="0"/>
      <w:r w:rsidRPr="00A6006C">
        <w:t>aprendizaje colectivo</w:t>
      </w:r>
      <w:r>
        <w:t>, t</w:t>
      </w:r>
      <w:r w:rsidRPr="00A6006C">
        <w:t>rabajo en a</w:t>
      </w:r>
      <w:r>
        <w:t>lianzas y conformación de redes, m</w:t>
      </w:r>
      <w:r w:rsidRPr="00A6006C">
        <w:t>onitoreo (seguimiento) y evaluación participativa.</w:t>
      </w:r>
    </w:p>
    <w:p w14:paraId="7427470A" w14:textId="77777777" w:rsidR="00EB400F" w:rsidRDefault="00EB400F" w:rsidP="00EB400F">
      <w:pPr>
        <w:pStyle w:val="ListParagraph"/>
      </w:pPr>
      <w:r>
        <w:t xml:space="preserve">La </w:t>
      </w:r>
      <w:r w:rsidRPr="001F6F97">
        <w:rPr>
          <w:highlight w:val="yellow"/>
        </w:rPr>
        <w:t>población objetivo de las Escuelas de Asociatividad son los pobladores rurales organizados formal o informalmente</w:t>
      </w:r>
      <w:r w:rsidRPr="00DB6D6C">
        <w:t xml:space="preserve"> alrededor de intereses comunes</w:t>
      </w:r>
      <w:r>
        <w:t xml:space="preserve"> y preferentemente promovidas por la institucionalidad que le competa en el territorio</w:t>
      </w:r>
      <w:r w:rsidRPr="00DB6D6C">
        <w:t>.</w:t>
      </w:r>
    </w:p>
    <w:p w14:paraId="21DD4990" w14:textId="77777777" w:rsidR="00EB400F" w:rsidRDefault="00EB400F" w:rsidP="00EB400F">
      <w:pPr>
        <w:pStyle w:val="ListParagraph"/>
      </w:pPr>
      <w:r>
        <w:t xml:space="preserve">Se prevé que cada Escuela mostrará diferente grado de desarrollo. Esta consideración de gradualidad permite observar niveles de desarrollo organizacional que se identifican mediante el </w:t>
      </w:r>
      <w:r w:rsidRPr="001F6F97">
        <w:rPr>
          <w:highlight w:val="yellow"/>
        </w:rPr>
        <w:t>empleo de la Medición del Emprendimiento Rural (MER)</w:t>
      </w:r>
      <w:r>
        <w:t xml:space="preserve"> y el análisis de la red y de la posición en que la organización se encuentra en dicha red. Derivado del grado de desarrollo se estructura el </w:t>
      </w:r>
      <w:r w:rsidRPr="001F6F97">
        <w:rPr>
          <w:highlight w:val="yellow"/>
        </w:rPr>
        <w:t>Plan de Fortalecimiento para la Asociatividad de cada Escuela</w:t>
      </w:r>
      <w:r>
        <w:t>.</w:t>
      </w:r>
    </w:p>
    <w:p w14:paraId="415BE7C3" w14:textId="77777777" w:rsidR="00EB400F" w:rsidRDefault="00EB400F" w:rsidP="00EB400F">
      <w:pPr>
        <w:pStyle w:val="ListParagraph"/>
      </w:pPr>
      <w:r w:rsidRPr="00372CF4">
        <w:t xml:space="preserve">La Metodología de Escuelas de Asociatividad tienen como base el elemento transversal llamado </w:t>
      </w:r>
      <w:r w:rsidRPr="003E67B0">
        <w:rPr>
          <w:i/>
        </w:rPr>
        <w:t>innovación social</w:t>
      </w:r>
      <w:r w:rsidRPr="00372CF4">
        <w:t>, a través del cual se busca lograr un cambio de mentalidad, y la promoción humana y social en los territorios.</w:t>
      </w:r>
    </w:p>
    <w:p w14:paraId="7DD7047E" w14:textId="77777777" w:rsidR="00EB400F" w:rsidRDefault="00EB400F" w:rsidP="00EB400F">
      <w:pPr>
        <w:pStyle w:val="NoSpacing"/>
        <w:ind w:firstLine="360"/>
        <w:jc w:val="both"/>
        <w:rPr>
          <w:rFonts w:ascii="Arial Narrow" w:eastAsiaTheme="minorEastAsia" w:hAnsi="Arial Narrow" w:cs="Times New Roman"/>
          <w:sz w:val="24"/>
          <w:szCs w:val="24"/>
          <w:lang w:val="es-CO" w:eastAsia="ko-KR"/>
        </w:rPr>
      </w:pPr>
    </w:p>
    <w:p w14:paraId="3CD4621D" w14:textId="77777777" w:rsidR="00EB400F" w:rsidRPr="00906B57" w:rsidRDefault="00EB400F" w:rsidP="00EB400F">
      <w:pPr>
        <w:pStyle w:val="NoSpacing"/>
        <w:jc w:val="both"/>
        <w:rPr>
          <w:rFonts w:ascii="Arial Narrow" w:eastAsiaTheme="minorEastAsia" w:hAnsi="Arial Narrow" w:cs="Times New Roman"/>
          <w:sz w:val="24"/>
          <w:szCs w:val="24"/>
          <w:lang w:val="es-CO" w:eastAsia="ko-KR"/>
        </w:rPr>
      </w:pPr>
      <w:r w:rsidRPr="00305E01">
        <w:rPr>
          <w:rFonts w:ascii="Arial Narrow" w:eastAsiaTheme="minorEastAsia" w:hAnsi="Arial Narrow" w:cs="Times New Roman"/>
          <w:b/>
          <w:sz w:val="24"/>
          <w:szCs w:val="24"/>
          <w:lang w:val="es-CO" w:eastAsia="ko-KR"/>
        </w:rPr>
        <w:t xml:space="preserve">Objetivos de las Escuelas de Asociatividad: </w:t>
      </w:r>
      <w:r w:rsidRPr="00906B57">
        <w:rPr>
          <w:rFonts w:ascii="Arial Narrow" w:eastAsiaTheme="minorEastAsia" w:hAnsi="Arial Narrow" w:cs="Times New Roman"/>
          <w:sz w:val="24"/>
          <w:szCs w:val="24"/>
          <w:lang w:val="es-CO" w:eastAsia="ko-KR"/>
        </w:rPr>
        <w:t>Tienen una intencionalidad clara: la integración de capacidades locales   para el desarrollo territorial los cuales pueden desglosarse en los siguientes:</w:t>
      </w:r>
    </w:p>
    <w:p w14:paraId="3AC4D49E" w14:textId="77777777" w:rsidR="00EB400F" w:rsidRPr="00A6006C" w:rsidRDefault="00EB400F" w:rsidP="00EB400F">
      <w:pPr>
        <w:pStyle w:val="ListParagraph"/>
      </w:pPr>
      <w:r w:rsidRPr="001F6F97">
        <w:rPr>
          <w:highlight w:val="yellow"/>
        </w:rPr>
        <w:t>Promover la conformación de grupos asociativos</w:t>
      </w:r>
      <w:r w:rsidRPr="00A6006C">
        <w:t xml:space="preserve"> que impulsen la organización social, fortalezcan los procesos de recuperación emocional a nivel individual, familiar y grupal y apoyen el desarrollo de procesos de resiliencia para lograr restituir los proyectos de vida, la confianza y el trabajo colaborativo</w:t>
      </w:r>
      <w:r>
        <w:t xml:space="preserve"> a través de la innovación social</w:t>
      </w:r>
      <w:r w:rsidRPr="00A6006C">
        <w:t xml:space="preserve">. </w:t>
      </w:r>
    </w:p>
    <w:p w14:paraId="2C1D8253" w14:textId="77777777" w:rsidR="00EB400F" w:rsidRDefault="00EB400F" w:rsidP="00EB400F">
      <w:pPr>
        <w:pStyle w:val="ListParagraph"/>
      </w:pPr>
      <w:r w:rsidRPr="00A6006C">
        <w:t xml:space="preserve">Abrir espacios de información y </w:t>
      </w:r>
      <w:r w:rsidRPr="001F6F97">
        <w:rPr>
          <w:highlight w:val="yellow"/>
        </w:rPr>
        <w:t>formación en habilidades para el trabajo cooperativo</w:t>
      </w:r>
      <w:r w:rsidRPr="00A6006C">
        <w:t xml:space="preserve"> y colectivo, que fomente su participación en las decisiones de su territorio, bajo el establecimiento de una línea de pensamiento integral que fortalezca su quehacer cotidiano y comunitario</w:t>
      </w:r>
      <w:r>
        <w:t xml:space="preserve"> con un enfoque de apoyo a mujeres y jóvenes</w:t>
      </w:r>
      <w:r w:rsidRPr="00A6006C">
        <w:t>.</w:t>
      </w:r>
    </w:p>
    <w:p w14:paraId="031D643A" w14:textId="77777777" w:rsidR="00EB400F" w:rsidRPr="00D7246A" w:rsidRDefault="00EB400F" w:rsidP="00EB400F">
      <w:pPr>
        <w:pStyle w:val="ListParagraph"/>
      </w:pPr>
      <w:r w:rsidRPr="00D7246A">
        <w:t>Contar con  herramientas como elemento para informar e influir en la toma de decisiones en los territorios, motivar a la acción, cualificar la opinión de los pobladores, generar conocimiento, desmitificar conceptos y fortalecer relaciones</w:t>
      </w:r>
      <w:r w:rsidRPr="006B3A74">
        <w:t xml:space="preserve"> entre actores sociales que son parte de una organización y de una comunidad</w:t>
      </w:r>
      <w:r w:rsidRPr="00D7246A">
        <w:t>.</w:t>
      </w:r>
    </w:p>
    <w:p w14:paraId="199AAFC8" w14:textId="77777777" w:rsidR="00EB400F" w:rsidRPr="00A6006C" w:rsidRDefault="00EB400F" w:rsidP="00EB400F">
      <w:pPr>
        <w:pStyle w:val="ListParagraph"/>
      </w:pPr>
      <w:r w:rsidRPr="00A6006C">
        <w:lastRenderedPageBreak/>
        <w:t xml:space="preserve">Definir rutas para </w:t>
      </w:r>
      <w:r w:rsidRPr="001F6F97">
        <w:rPr>
          <w:highlight w:val="yellow"/>
        </w:rPr>
        <w:t>identificar y gestionar recursos  financieros</w:t>
      </w:r>
      <w:r w:rsidRPr="00A6006C">
        <w:t xml:space="preserve"> para los  proyectos  priorizados por las organizaciones para el desarrollo</w:t>
      </w:r>
      <w:r>
        <w:t xml:space="preserve"> de competencias y capacidades, y para el desarrollo de su capital semilla que sirva para generar escalamiento.</w:t>
      </w:r>
    </w:p>
    <w:p w14:paraId="5E5653AA" w14:textId="77777777" w:rsidR="00EB400F" w:rsidRPr="00A6006C" w:rsidRDefault="00EB400F" w:rsidP="00EB400F">
      <w:pPr>
        <w:pStyle w:val="ListParagraph"/>
      </w:pPr>
      <w:r w:rsidRPr="00A6006C">
        <w:t>Facilitar la generación y el intercambio de conocimiento, fomentando la participación activa de los actores a través del diálogo y procesos i</w:t>
      </w:r>
      <w:r>
        <w:t>nclusivos de toma de decisiones, principalmente en aquellos temas relacionados con los servicios de extensión</w:t>
      </w:r>
      <w:r w:rsidRPr="00A6006C">
        <w:t>.</w:t>
      </w:r>
    </w:p>
    <w:p w14:paraId="30D48098" w14:textId="77777777" w:rsidR="00EB400F" w:rsidRPr="00A6006C" w:rsidRDefault="00EB400F" w:rsidP="00EB400F">
      <w:pPr>
        <w:pStyle w:val="ListParagraph"/>
      </w:pPr>
      <w:r w:rsidRPr="00A6006C">
        <w:t xml:space="preserve">Promover </w:t>
      </w:r>
      <w:r>
        <w:t>el uso de las TICs como un medio</w:t>
      </w:r>
      <w:r w:rsidRPr="00A6006C">
        <w:t xml:space="preserve"> adecuado para compartir información y conocimiento e incluir socialmente a todos los actores.</w:t>
      </w:r>
    </w:p>
    <w:p w14:paraId="635606E8" w14:textId="77777777" w:rsidR="00EB400F" w:rsidRDefault="00EB400F" w:rsidP="00EB400F">
      <w:pPr>
        <w:pStyle w:val="ListParagraph"/>
      </w:pPr>
      <w:r w:rsidRPr="00A6006C">
        <w:t>Fortalecer  las redes sociales, que faciliten y enriquezcan el trabajo asociativo, tanto en la identificación de oportunidades como en la atención a los factores restrictivos que limitan estas oportunidades</w:t>
      </w:r>
      <w:r>
        <w:t>.</w:t>
      </w:r>
    </w:p>
    <w:p w14:paraId="7653DB41" w14:textId="77777777" w:rsidR="00EB400F" w:rsidRDefault="00EB400F" w:rsidP="00EB400F">
      <w:pPr>
        <w:pStyle w:val="ListParagraph"/>
      </w:pPr>
      <w:r>
        <w:t xml:space="preserve">Promover una cultura de </w:t>
      </w:r>
      <w:r w:rsidRPr="00345C72">
        <w:t xml:space="preserve">desarrollo de proyectos de vida </w:t>
      </w:r>
      <w:r>
        <w:t xml:space="preserve">atractivos para </w:t>
      </w:r>
      <w:r w:rsidRPr="00345C72">
        <w:t>los jóvenes</w:t>
      </w:r>
      <w:r>
        <w:t>, fomentando su inserción a las actividades productivas del</w:t>
      </w:r>
      <w:r w:rsidRPr="00345C72">
        <w:t xml:space="preserve"> territorio</w:t>
      </w:r>
      <w:r>
        <w:t>, para superar los retos del</w:t>
      </w:r>
      <w:r w:rsidRPr="00345C72">
        <w:t xml:space="preserve"> </w:t>
      </w:r>
      <w:r>
        <w:t>empalme generacional.</w:t>
      </w:r>
    </w:p>
    <w:p w14:paraId="0A0F38D0" w14:textId="77777777" w:rsidR="00EB400F" w:rsidRPr="003B3939" w:rsidRDefault="00EB400F" w:rsidP="00EB400F">
      <w:pPr>
        <w:pStyle w:val="ListParagraph"/>
      </w:pPr>
      <w:r>
        <w:t xml:space="preserve">Las características de un </w:t>
      </w:r>
      <w:r w:rsidRPr="004C5970">
        <w:t>perfil</w:t>
      </w:r>
      <w:r>
        <w:t xml:space="preserve"> sugerido para una Escuela, están de acuerdo con los requisitos generales para el acceso a la cofinanciación de Proyectos Integrales de Desarrollo Agropecuario y Rural con Enfoque Territorial (PIDAR), que la ADR establece en su reglamento para la aprobación de los PIDAR. El no contar con alguna de estas características no es por sí misma una condición de rechazo; significa una condición que se debe tomar en cuenta en el diseño del plan de trabajo con la EscAs.</w:t>
      </w:r>
    </w:p>
    <w:p w14:paraId="05034222" w14:textId="77777777" w:rsidR="00EB400F" w:rsidRDefault="00EB400F" w:rsidP="00EB400F">
      <w:pPr>
        <w:pStyle w:val="ListParagraph"/>
      </w:pPr>
      <w:r>
        <w:t xml:space="preserve">Una meta de las </w:t>
      </w:r>
      <w:r w:rsidRPr="001F6F97">
        <w:rPr>
          <w:highlight w:val="yellow"/>
        </w:rPr>
        <w:t>EscAs, como método de intervención</w:t>
      </w:r>
      <w:r>
        <w:t xml:space="preserve">, es la </w:t>
      </w:r>
      <w:r w:rsidRPr="001F6F97">
        <w:rPr>
          <w:highlight w:val="yellow"/>
        </w:rPr>
        <w:t>distinción en la mayor eficiencia de los recursos públicos y privados invertidos en un proyecto cuando se parte de una Escuela</w:t>
      </w:r>
      <w:r>
        <w:t xml:space="preserve">, a diferencia de cuando se desarrolla un proceso de inversión de manera tradicional. Esta eficiencia refiere tanto a la generación de bienestar como a la permanencia y expansión de los beneficios. </w:t>
      </w:r>
    </w:p>
    <w:p w14:paraId="690CB92A" w14:textId="77777777" w:rsidR="00EB400F" w:rsidRPr="002A5250" w:rsidRDefault="00EB400F" w:rsidP="00EB400F">
      <w:pPr>
        <w:pStyle w:val="NoSpacing"/>
        <w:jc w:val="both"/>
        <w:rPr>
          <w:rFonts w:ascii="Arial Narrow" w:eastAsiaTheme="minorEastAsia" w:hAnsi="Arial Narrow" w:cs="Times New Roman"/>
          <w:sz w:val="24"/>
          <w:szCs w:val="24"/>
          <w:lang w:val="es-CO" w:eastAsia="ko-KR"/>
        </w:rPr>
      </w:pPr>
    </w:p>
    <w:p w14:paraId="28285D8C" w14:textId="77777777" w:rsidR="00EB400F" w:rsidRPr="00305E01" w:rsidRDefault="00EB400F" w:rsidP="00EB400F">
      <w:pPr>
        <w:pStyle w:val="NoSpacing"/>
        <w:jc w:val="both"/>
        <w:rPr>
          <w:rFonts w:ascii="Arial Narrow" w:eastAsiaTheme="minorEastAsia" w:hAnsi="Arial Narrow" w:cs="Times New Roman"/>
          <w:b/>
          <w:sz w:val="24"/>
          <w:szCs w:val="24"/>
          <w:lang w:val="es-CO" w:eastAsia="ko-KR"/>
        </w:rPr>
      </w:pPr>
      <w:r w:rsidRPr="00305E01">
        <w:rPr>
          <w:rFonts w:ascii="Arial Narrow" w:eastAsiaTheme="minorEastAsia" w:hAnsi="Arial Narrow" w:cs="Times New Roman"/>
          <w:b/>
          <w:sz w:val="24"/>
          <w:szCs w:val="24"/>
          <w:lang w:val="es-CO" w:eastAsia="ko-KR"/>
        </w:rPr>
        <w:t>La metodología está conformada por cinco procesos:</w:t>
      </w:r>
    </w:p>
    <w:p w14:paraId="2F997CCE" w14:textId="77777777" w:rsidR="00EB400F" w:rsidRPr="002A5250" w:rsidRDefault="00EB400F" w:rsidP="00EB400F">
      <w:pPr>
        <w:pStyle w:val="NoSpacing"/>
        <w:ind w:left="360"/>
        <w:jc w:val="both"/>
        <w:rPr>
          <w:rFonts w:ascii="Arial Narrow" w:eastAsiaTheme="minorEastAsia" w:hAnsi="Arial Narrow" w:cs="Times New Roman"/>
          <w:sz w:val="24"/>
          <w:szCs w:val="24"/>
          <w:lang w:val="es-CO" w:eastAsia="ko-KR"/>
        </w:rPr>
      </w:pPr>
    </w:p>
    <w:p w14:paraId="2E55C67A" w14:textId="77777777" w:rsidR="00EB400F" w:rsidRPr="00906B57" w:rsidRDefault="00EB400F" w:rsidP="00EB400F">
      <w:pPr>
        <w:pStyle w:val="ListParagraph"/>
        <w:numPr>
          <w:ilvl w:val="0"/>
          <w:numId w:val="1"/>
        </w:numPr>
      </w:pPr>
      <w:r w:rsidRPr="00906B57">
        <w:rPr>
          <w:b/>
        </w:rPr>
        <w:t>Definición de las EscAs:</w:t>
      </w:r>
      <w:r w:rsidRPr="00906B57">
        <w:t xml:space="preserve"> Definición del territorio, población, sistema y proceso; Esta definición implica un proceso de gestión territorial que deberá identificar qué actores desempeñan qué funciones, las iniciativas que puedan complementar o comprometer el desarrollo de la EscAs, y la identificación de la o las organizaciones dinamizadoras locales con potencial de apropiarse de la Escuela desde su planteamiento. Se hace una valoración de diez criterios a </w:t>
      </w:r>
      <w:r w:rsidRPr="00D93017">
        <w:t>co</w:t>
      </w:r>
      <w:r>
        <w:t>nsiderar</w:t>
      </w:r>
      <w:r w:rsidRPr="00906B57">
        <w:t xml:space="preserve"> con una escala de alto, medio y bajo</w:t>
      </w:r>
      <w:r>
        <w:t xml:space="preserve">: 1) prioridad institucional, 2) interés de la organización, 3) potencial de mejora, 4) organizaciones dinamizadoras, 5) escalamiento e inclusividad, 6) factibilidad técnica, 7) rentabilidad económica, 8) organización existente, 9) promotor existente, y 10) demanda de mercado. </w:t>
      </w:r>
      <w:r w:rsidRPr="00906B57">
        <w:t xml:space="preserve"> Se destinan dos semanas al análisis de la pertinencia y justificación social, técnica y económica de la selección de una Escuela. </w:t>
      </w:r>
    </w:p>
    <w:p w14:paraId="2BABEF6B" w14:textId="77777777" w:rsidR="00EB400F" w:rsidRPr="00043AD5" w:rsidRDefault="00EB400F" w:rsidP="00EB400F">
      <w:pPr>
        <w:pStyle w:val="NoSpacing"/>
        <w:jc w:val="both"/>
        <w:rPr>
          <w:rFonts w:ascii="Arial Narrow" w:eastAsiaTheme="minorEastAsia" w:hAnsi="Arial Narrow" w:cs="Times New Roman"/>
          <w:sz w:val="24"/>
          <w:szCs w:val="24"/>
          <w:lang w:val="es-CO" w:eastAsia="ko-KR"/>
        </w:rPr>
      </w:pPr>
    </w:p>
    <w:p w14:paraId="7E0C9F14" w14:textId="77777777" w:rsidR="00EB400F" w:rsidRDefault="00EB400F" w:rsidP="00EB400F">
      <w:pPr>
        <w:pStyle w:val="NoSpacing"/>
        <w:numPr>
          <w:ilvl w:val="0"/>
          <w:numId w:val="1"/>
        </w:numPr>
        <w:jc w:val="both"/>
        <w:rPr>
          <w:rFonts w:ascii="Arial Narrow" w:eastAsiaTheme="minorEastAsia" w:hAnsi="Arial Narrow" w:cs="Times New Roman"/>
          <w:sz w:val="24"/>
          <w:szCs w:val="24"/>
          <w:lang w:val="es-CO" w:eastAsia="ko-KR"/>
        </w:rPr>
      </w:pPr>
      <w:r w:rsidRPr="00906B57">
        <w:rPr>
          <w:rFonts w:ascii="Arial Narrow" w:eastAsia="Times New Roman" w:hAnsi="Arial Narrow" w:cs="Arial"/>
          <w:b/>
          <w:sz w:val="24"/>
          <w:lang w:val="es-ES_tradnl" w:eastAsia="es-ES"/>
        </w:rPr>
        <w:t>Medición de Línea de Base</w:t>
      </w:r>
      <w:r w:rsidRPr="00906B57">
        <w:rPr>
          <w:rFonts w:ascii="Arial Narrow" w:eastAsia="Times New Roman" w:hAnsi="Arial Narrow" w:cs="Arial"/>
          <w:sz w:val="24"/>
          <w:lang w:val="es-ES_tradnl" w:eastAsia="es-ES"/>
        </w:rPr>
        <w:t xml:space="preserve">, en el que se utilizan diferentes herramientas de diagnóstico altamente validadas para responder ¿Cómo se encuentra la organización?;  Para establecer la línea de base se utilizará una serie de instrumentos metodológicos que permitirán conocer la situación actual de cada semillero, estos son: a) La Medición del Emprendimiento Rural (MER) o la Medición del Emprendimiento Rural con Enfoque Diferencial (MER-ED), b) </w:t>
      </w:r>
      <w:r w:rsidRPr="001F6F97">
        <w:rPr>
          <w:rFonts w:ascii="Arial Narrow" w:eastAsia="Times New Roman" w:hAnsi="Arial Narrow" w:cs="Arial"/>
          <w:sz w:val="24"/>
          <w:highlight w:val="yellow"/>
          <w:lang w:val="es-ES_tradnl" w:eastAsia="es-ES"/>
        </w:rPr>
        <w:t xml:space="preserve">El </w:t>
      </w:r>
      <w:r w:rsidRPr="001F6F97">
        <w:rPr>
          <w:rFonts w:ascii="Arial Narrow" w:eastAsia="Times New Roman" w:hAnsi="Arial Narrow" w:cs="Arial"/>
          <w:sz w:val="24"/>
          <w:highlight w:val="yellow"/>
          <w:lang w:val="es-ES_tradnl" w:eastAsia="es-ES"/>
        </w:rPr>
        <w:lastRenderedPageBreak/>
        <w:t>Análisis de Redes de Innovación</w:t>
      </w:r>
      <w:r w:rsidRPr="00906B57">
        <w:rPr>
          <w:rFonts w:ascii="Arial Narrow" w:eastAsia="Times New Roman" w:hAnsi="Arial Narrow" w:cs="Arial"/>
          <w:sz w:val="24"/>
          <w:lang w:val="es-ES_tradnl" w:eastAsia="es-ES"/>
        </w:rPr>
        <w:t xml:space="preserve">, c) Análisis del componente organizativo: confianza, liderazgo, comunicación, participación y compromiso de los integrantes del semillero, d) Estudios de costos, ingresos y de mercado, e) Planteamiento de indicadores y metas. </w:t>
      </w:r>
      <w:r w:rsidRPr="005E50F2">
        <w:rPr>
          <w:rFonts w:ascii="Arial Narrow" w:eastAsiaTheme="minorEastAsia" w:hAnsi="Arial Narrow" w:cs="Times New Roman"/>
          <w:sz w:val="24"/>
          <w:szCs w:val="24"/>
          <w:highlight w:val="yellow"/>
          <w:lang w:val="es-CO" w:eastAsia="ko-KR"/>
        </w:rPr>
        <w:t>En dos semanas el Profesional Misional levanta la información de campo, tanto de productores como de las entidades identificadas y relacionadas con el emprendimiento que plantea la Escuela</w:t>
      </w:r>
      <w:r w:rsidRPr="00906B57">
        <w:rPr>
          <w:rFonts w:ascii="Arial Narrow" w:eastAsiaTheme="minorEastAsia" w:hAnsi="Arial Narrow" w:cs="Times New Roman"/>
          <w:sz w:val="24"/>
          <w:szCs w:val="24"/>
          <w:lang w:val="es-CO" w:eastAsia="ko-KR"/>
        </w:rPr>
        <w:t xml:space="preserve">. </w:t>
      </w:r>
    </w:p>
    <w:p w14:paraId="453FBFD8" w14:textId="77777777" w:rsidR="00EB400F" w:rsidRDefault="00EB400F" w:rsidP="00EB400F">
      <w:pPr>
        <w:pStyle w:val="NoSpacing"/>
        <w:ind w:left="720"/>
        <w:jc w:val="both"/>
        <w:rPr>
          <w:rFonts w:ascii="Arial Narrow" w:eastAsiaTheme="minorEastAsia" w:hAnsi="Arial Narrow" w:cs="Times New Roman"/>
          <w:b/>
          <w:sz w:val="24"/>
          <w:szCs w:val="24"/>
          <w:lang w:val="es-CO" w:eastAsia="ko-KR"/>
        </w:rPr>
      </w:pPr>
    </w:p>
    <w:p w14:paraId="39AFABCB" w14:textId="77777777" w:rsidR="00EB400F" w:rsidRDefault="00EB400F" w:rsidP="00EB400F">
      <w:pPr>
        <w:pStyle w:val="NoSpacing"/>
        <w:numPr>
          <w:ilvl w:val="0"/>
          <w:numId w:val="1"/>
        </w:numPr>
        <w:jc w:val="both"/>
        <w:rPr>
          <w:rFonts w:ascii="Arial Narrow" w:eastAsiaTheme="minorEastAsia" w:hAnsi="Arial Narrow" w:cs="Times New Roman"/>
          <w:sz w:val="24"/>
          <w:szCs w:val="24"/>
          <w:lang w:val="es-CO" w:eastAsia="ko-KR"/>
        </w:rPr>
      </w:pPr>
      <w:r>
        <w:rPr>
          <w:rFonts w:ascii="Arial Narrow" w:eastAsiaTheme="minorEastAsia" w:hAnsi="Arial Narrow" w:cs="Times New Roman"/>
          <w:b/>
          <w:sz w:val="24"/>
          <w:szCs w:val="24"/>
          <w:lang w:val="es-CO" w:eastAsia="ko-KR"/>
        </w:rPr>
        <w:t>P</w:t>
      </w:r>
      <w:r w:rsidRPr="00906B57">
        <w:rPr>
          <w:rFonts w:ascii="Arial Narrow" w:eastAsiaTheme="minorEastAsia" w:hAnsi="Arial Narrow" w:cs="Times New Roman"/>
          <w:b/>
          <w:sz w:val="24"/>
          <w:szCs w:val="24"/>
          <w:lang w:val="es-CO" w:eastAsia="ko-KR"/>
        </w:rPr>
        <w:t>lan de Fortalecimiento para la Asociatividad</w:t>
      </w:r>
      <w:r w:rsidRPr="00043AD5">
        <w:rPr>
          <w:rFonts w:ascii="Arial Narrow" w:eastAsiaTheme="minorEastAsia" w:hAnsi="Arial Narrow" w:cs="Times New Roman"/>
          <w:sz w:val="24"/>
          <w:szCs w:val="24"/>
          <w:lang w:val="es-CO" w:eastAsia="ko-KR"/>
        </w:rPr>
        <w:t>, en el que de manera conjunta EscAs-</w:t>
      </w:r>
      <w:r w:rsidRPr="00906B57">
        <w:rPr>
          <w:rFonts w:ascii="Arial Narrow" w:eastAsia="Times New Roman" w:hAnsi="Arial Narrow" w:cs="Arial"/>
          <w:sz w:val="24"/>
          <w:lang w:val="es-ES_tradnl" w:eastAsia="es-ES"/>
        </w:rPr>
        <w:t>Profesional Misional propondrán objetivos, actividades, metas e indicadores en su plan de fortalecimiento para alcanzarlo en la operación. En este proceso se considera, además, el planteamiento de la “estrategia de salida” con una visión de gestión asociativa, entendida como las condiciones y acuerdos que se deben generar para favorecer la continuidad de la EscAs en una lógica de autogestión basada en su fortaleza asociativa y de no dependencia de recursos externos.</w:t>
      </w:r>
      <w:r>
        <w:rPr>
          <w:rFonts w:ascii="Arial Narrow" w:eastAsia="Times New Roman" w:hAnsi="Arial Narrow" w:cs="Arial"/>
          <w:sz w:val="24"/>
          <w:lang w:val="es-ES_tradnl" w:eastAsia="es-ES"/>
        </w:rPr>
        <w:t xml:space="preserve"> </w:t>
      </w:r>
      <w:r w:rsidRPr="00043AD5">
        <w:rPr>
          <w:rFonts w:ascii="Arial Narrow" w:eastAsiaTheme="minorEastAsia" w:hAnsi="Arial Narrow" w:cs="Times New Roman"/>
          <w:sz w:val="24"/>
          <w:szCs w:val="24"/>
          <w:lang w:val="es-CO" w:eastAsia="ko-KR"/>
        </w:rPr>
        <w:t xml:space="preserve">Durante dos a tres semanas la información de línea base se analiza y se discute con actores clave, tanto para su posible aporte como para su validación. </w:t>
      </w:r>
    </w:p>
    <w:p w14:paraId="235E5AEC" w14:textId="77777777" w:rsidR="00EB400F" w:rsidRDefault="00EB400F" w:rsidP="00EB400F">
      <w:pPr>
        <w:pStyle w:val="NoSpacing"/>
        <w:jc w:val="both"/>
        <w:rPr>
          <w:rFonts w:ascii="Arial Narrow" w:eastAsiaTheme="minorEastAsia" w:hAnsi="Arial Narrow" w:cs="Times New Roman"/>
          <w:sz w:val="24"/>
          <w:szCs w:val="24"/>
          <w:lang w:val="es-CO" w:eastAsia="ko-KR"/>
        </w:rPr>
      </w:pPr>
    </w:p>
    <w:p w14:paraId="75D2D0D8" w14:textId="77777777" w:rsidR="00EB400F" w:rsidRPr="00305E01" w:rsidRDefault="00EB400F" w:rsidP="00EB400F">
      <w:pPr>
        <w:pStyle w:val="NoSpacing"/>
        <w:numPr>
          <w:ilvl w:val="0"/>
          <w:numId w:val="1"/>
        </w:numPr>
        <w:jc w:val="both"/>
        <w:rPr>
          <w:rFonts w:ascii="Arial Narrow" w:eastAsiaTheme="minorEastAsia" w:hAnsi="Arial Narrow" w:cs="Times New Roman"/>
          <w:sz w:val="24"/>
          <w:szCs w:val="24"/>
          <w:lang w:val="es-CO" w:eastAsia="ko-KR"/>
        </w:rPr>
      </w:pPr>
      <w:r w:rsidRPr="00305E01">
        <w:rPr>
          <w:rFonts w:ascii="Arial Narrow" w:eastAsiaTheme="minorEastAsia" w:hAnsi="Arial Narrow" w:cs="Times New Roman"/>
          <w:b/>
          <w:sz w:val="24"/>
          <w:szCs w:val="24"/>
          <w:lang w:val="es-CO" w:eastAsia="ko-KR"/>
        </w:rPr>
        <w:t>Operación y acompañamiento en el semillero</w:t>
      </w:r>
      <w:r w:rsidRPr="00305E01">
        <w:rPr>
          <w:rFonts w:ascii="Arial Narrow" w:eastAsiaTheme="minorEastAsia" w:hAnsi="Arial Narrow" w:cs="Times New Roman"/>
          <w:sz w:val="24"/>
          <w:szCs w:val="24"/>
          <w:lang w:val="es-CO" w:eastAsia="ko-KR"/>
        </w:rPr>
        <w:t xml:space="preserve">, el proceso de Operación es el espacio que los profesionales misionales asignados a cada semillero implementarán las acciones propuestas en su Plan de Fortalecimiento, dirigidas a cumplir con sus metas e indicadores. Los profesionales misionales deberán programar sus actividades de formación y acompañamiento con el semillero, teniendo en cuenta la participación de los integrantes del semillero y de actores externos que se vinculen para el cumplimiento de metas. El acompañamiento a los semilleros deberá ser integral, considerando aspectos sociales, productivos, ambientales y relacionales. En un periodo de cuatro a nueve meses, la Escuela opera lo señalado en el Plan de Fortalecimiento.  </w:t>
      </w:r>
    </w:p>
    <w:p w14:paraId="33A2E8C1" w14:textId="77777777" w:rsidR="00EB400F" w:rsidRPr="00043AD5" w:rsidRDefault="00EB400F" w:rsidP="00EB400F">
      <w:pPr>
        <w:pStyle w:val="NoSpacing"/>
        <w:ind w:left="708"/>
        <w:jc w:val="both"/>
        <w:rPr>
          <w:rFonts w:ascii="Arial Narrow" w:eastAsiaTheme="minorEastAsia" w:hAnsi="Arial Narrow" w:cs="Times New Roman"/>
          <w:sz w:val="24"/>
          <w:szCs w:val="24"/>
          <w:lang w:val="es-CO" w:eastAsia="ko-KR"/>
        </w:rPr>
      </w:pPr>
    </w:p>
    <w:p w14:paraId="0BC7F860" w14:textId="77777777" w:rsidR="00EB400F" w:rsidRDefault="00EB400F" w:rsidP="00EB400F">
      <w:pPr>
        <w:pStyle w:val="NoSpacing"/>
        <w:numPr>
          <w:ilvl w:val="0"/>
          <w:numId w:val="1"/>
        </w:numPr>
        <w:jc w:val="both"/>
        <w:rPr>
          <w:rFonts w:ascii="Arial Narrow" w:eastAsiaTheme="minorEastAsia" w:hAnsi="Arial Narrow" w:cs="Times New Roman"/>
          <w:sz w:val="24"/>
          <w:szCs w:val="24"/>
          <w:lang w:val="es-CO" w:eastAsia="ko-KR"/>
        </w:rPr>
      </w:pPr>
      <w:r w:rsidRPr="00906B57">
        <w:rPr>
          <w:rFonts w:ascii="Arial Narrow" w:eastAsiaTheme="minorEastAsia" w:hAnsi="Arial Narrow" w:cs="Times New Roman"/>
          <w:b/>
          <w:sz w:val="24"/>
          <w:szCs w:val="24"/>
          <w:lang w:val="es-CO" w:eastAsia="ko-KR"/>
        </w:rPr>
        <w:t>Escalamiento y sostenibilidad,</w:t>
      </w:r>
      <w:r w:rsidRPr="00043AD5">
        <w:rPr>
          <w:rFonts w:ascii="Arial Narrow" w:eastAsiaTheme="minorEastAsia" w:hAnsi="Arial Narrow" w:cs="Times New Roman"/>
          <w:sz w:val="24"/>
          <w:szCs w:val="24"/>
          <w:lang w:val="es-CO" w:eastAsia="ko-KR"/>
        </w:rPr>
        <w:t xml:space="preserve"> en el que con base en los resultados y expectativas de cada EscAs se propondrá el tipo de escalamiento que se puede alcanzar a largo plazo y los elementos necesarios para la sostenibilidad de la EscAs. En un máximo de dos semanas, se analizan las perspectivas de escalamiento, tanto al interior como al exterior de la Escuela. </w:t>
      </w:r>
    </w:p>
    <w:p w14:paraId="11904090" w14:textId="77777777" w:rsidR="00EB400F" w:rsidRDefault="00EB400F" w:rsidP="00EB400F">
      <w:pPr>
        <w:pStyle w:val="NoSpacing"/>
        <w:ind w:firstLine="708"/>
        <w:jc w:val="both"/>
        <w:rPr>
          <w:rFonts w:ascii="Arial Narrow" w:eastAsiaTheme="minorEastAsia" w:hAnsi="Arial Narrow" w:cs="Times New Roman"/>
          <w:sz w:val="24"/>
          <w:szCs w:val="24"/>
          <w:lang w:val="es-CO" w:eastAsia="ko-KR"/>
        </w:rPr>
      </w:pPr>
    </w:p>
    <w:p w14:paraId="660984F0" w14:textId="77777777" w:rsidR="00EB400F" w:rsidRPr="00305E01" w:rsidRDefault="00EB400F" w:rsidP="00EB400F">
      <w:pPr>
        <w:pStyle w:val="NoSpacing"/>
        <w:ind w:firstLine="708"/>
        <w:jc w:val="center"/>
        <w:rPr>
          <w:rFonts w:ascii="Arial Narrow" w:eastAsiaTheme="minorEastAsia" w:hAnsi="Arial Narrow" w:cs="Times New Roman"/>
          <w:b/>
          <w:sz w:val="24"/>
          <w:szCs w:val="24"/>
          <w:lang w:val="es-CO" w:eastAsia="ko-KR"/>
        </w:rPr>
      </w:pPr>
      <w:r w:rsidRPr="00305E01">
        <w:rPr>
          <w:rFonts w:ascii="Arial Narrow" w:eastAsiaTheme="minorEastAsia" w:hAnsi="Arial Narrow" w:cs="Times New Roman"/>
          <w:b/>
          <w:sz w:val="24"/>
          <w:szCs w:val="24"/>
          <w:lang w:val="es-CO" w:eastAsia="ko-KR"/>
        </w:rPr>
        <w:t>Proceso para la instalación de las Escuelas de Asociatividad.</w:t>
      </w:r>
    </w:p>
    <w:p w14:paraId="163DE6F9" w14:textId="77777777" w:rsidR="00EB400F" w:rsidRPr="00043AD5" w:rsidRDefault="00EB400F" w:rsidP="00EB400F">
      <w:pPr>
        <w:pStyle w:val="NoSpacing"/>
        <w:ind w:firstLine="708"/>
        <w:jc w:val="both"/>
        <w:rPr>
          <w:rFonts w:ascii="Arial Narrow" w:eastAsiaTheme="minorEastAsia" w:hAnsi="Arial Narrow" w:cs="Times New Roman"/>
          <w:sz w:val="24"/>
          <w:szCs w:val="24"/>
          <w:lang w:val="es-CO" w:eastAsia="ko-KR"/>
        </w:rPr>
      </w:pPr>
      <w:r w:rsidRPr="00A06B0D">
        <w:rPr>
          <w:noProof/>
          <w:lang w:val="en-GB" w:eastAsia="en-GB"/>
        </w:rPr>
        <w:lastRenderedPageBreak/>
        <w:drawing>
          <wp:inline distT="0" distB="0" distL="0" distR="0" wp14:anchorId="320B7E26" wp14:editId="7DF3383D">
            <wp:extent cx="5332374" cy="3686175"/>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5469" cy="3709053"/>
                    </a:xfrm>
                    <a:prstGeom prst="rect">
                      <a:avLst/>
                    </a:prstGeom>
                  </pic:spPr>
                </pic:pic>
              </a:graphicData>
            </a:graphic>
          </wp:inline>
        </w:drawing>
      </w:r>
    </w:p>
    <w:p w14:paraId="5FD294A1" w14:textId="77777777" w:rsidR="00EB400F" w:rsidRDefault="00EB400F" w:rsidP="00EB400F">
      <w:pPr>
        <w:rPr>
          <w:lang w:val="es-ES_tradnl"/>
        </w:rPr>
      </w:pPr>
      <w:r>
        <w:rPr>
          <w:noProof/>
          <w:lang w:val="en-GB" w:eastAsia="en-GB"/>
        </w:rPr>
        <w:drawing>
          <wp:inline distT="0" distB="0" distL="0" distR="0" wp14:anchorId="76C18474" wp14:editId="79033F90">
            <wp:extent cx="5047281" cy="278969"/>
            <wp:effectExtent l="19050" t="38100" r="20320" b="26035"/>
            <wp:docPr id="26" name="Diagrama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9CCAD8" w14:textId="77777777" w:rsidR="00EB400F" w:rsidRDefault="00EB400F" w:rsidP="00EB400F">
      <w:pPr>
        <w:pStyle w:val="ListParagraph"/>
        <w:rPr>
          <w:lang w:val="es-ES_tradnl"/>
        </w:rPr>
      </w:pPr>
      <w:r w:rsidRPr="00906B57">
        <w:t xml:space="preserve">El alcance de la metodología se orienta a los siguientes puntos: </w:t>
      </w:r>
      <w:r>
        <w:t>F</w:t>
      </w:r>
      <w:r w:rsidRPr="00906B57">
        <w:t>ocalización en el fortalecimiento asociativo para la identificación, gestión y desarrollo de emprendimientos bajo un enfoque participativo y orientado a resultados.</w:t>
      </w:r>
      <w:r>
        <w:t xml:space="preserve"> </w:t>
      </w:r>
      <w:r w:rsidRPr="00906B57">
        <w:rPr>
          <w:lang w:val="es-ES_tradnl"/>
        </w:rPr>
        <w:t xml:space="preserve">Identificación de puntos de intervención y desarrollo endógeno de las organizaciones a partir de indicadores de base, tanto individuales, como del colectivo y del entramado institucional en el cual se inserta. Desarrollo de las capacidades locales para el escalamiento y la sostenibilidad de las actividades económicas y los procesos sociales planteados en el emprendimiento. Fortalecimiento al proceso de proyectos integrales de desarrollo agropecuario y rural mediante la construcción de capital social en las organizaciones. Potenciar la capacidad institucional y privada presente en los ámbitos local y regional a través de la generación de sinergias que contribuyan a los objetivos del emprendimiento. </w:t>
      </w:r>
    </w:p>
    <w:p w14:paraId="161E7898" w14:textId="77777777" w:rsidR="00EB400F" w:rsidRDefault="00EB400F" w:rsidP="00EB400F">
      <w:pPr>
        <w:pStyle w:val="ListParagraph"/>
        <w:rPr>
          <w:lang w:val="es-ES_tradnl"/>
        </w:rPr>
      </w:pPr>
      <w:r w:rsidRPr="00906B57">
        <w:rPr>
          <w:lang w:val="es-ES_tradnl"/>
        </w:rPr>
        <w:t>Las Escuelas de Asociatividad se integrarán a la Red de Escuelas de Asociatividad con el propósito de desarrollar, socializar y mejorar sus procesos a partir de la interacción productiva de sus experiencias en los procesos y productos logrados. Se entiende por interacción productiva la dinámica de sistematizar experiencias y casos que puedan ser discutidos con otras EscAs y que permitan la mejora individual y colectiva de las Escuelas. La red de Escuelas será articulada, construida y promovida por el Grupo Promotor, el cual estará coordinado de manera articulada por la ADR y FAO-Colombia.</w:t>
      </w:r>
    </w:p>
    <w:p w14:paraId="2A051492" w14:textId="77777777" w:rsidR="00EB400F" w:rsidRDefault="00EB400F" w:rsidP="00EB400F">
      <w:pPr>
        <w:pStyle w:val="ListParagraph"/>
        <w:numPr>
          <w:ilvl w:val="0"/>
          <w:numId w:val="0"/>
        </w:numPr>
        <w:ind w:left="708"/>
        <w:rPr>
          <w:lang w:val="es-ES_tradnl"/>
        </w:rPr>
      </w:pPr>
    </w:p>
    <w:p w14:paraId="1FF2E51B" w14:textId="77777777" w:rsidR="00EB400F" w:rsidRPr="00B31242" w:rsidRDefault="00EB400F" w:rsidP="00EB400F">
      <w:pPr>
        <w:pStyle w:val="ListParagraph"/>
        <w:numPr>
          <w:ilvl w:val="0"/>
          <w:numId w:val="0"/>
        </w:numPr>
        <w:ind w:left="708"/>
        <w:jc w:val="center"/>
        <w:rPr>
          <w:lang w:val="es-ES_tradnl"/>
        </w:rPr>
      </w:pPr>
      <w:r w:rsidRPr="00305E01">
        <w:rPr>
          <w:b/>
          <w:lang w:val="es-ES_tradnl"/>
        </w:rPr>
        <w:lastRenderedPageBreak/>
        <w:t>Estructura de una Escuela de Asociatividad</w:t>
      </w:r>
      <w:r w:rsidRPr="00EF3017">
        <w:rPr>
          <w:noProof/>
          <w:lang w:val="en-GB" w:eastAsia="en-GB"/>
        </w:rPr>
        <w:drawing>
          <wp:inline distT="0" distB="0" distL="0" distR="0" wp14:anchorId="0CAA6709" wp14:editId="003F7128">
            <wp:extent cx="7662396" cy="5591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61967" cy="5663831"/>
                    </a:xfrm>
                    <a:prstGeom prst="rect">
                      <a:avLst/>
                    </a:prstGeom>
                  </pic:spPr>
                </pic:pic>
              </a:graphicData>
            </a:graphic>
          </wp:inline>
        </w:drawing>
      </w:r>
    </w:p>
    <w:p w14:paraId="444BFBE6" w14:textId="77777777" w:rsidR="00BF5D46" w:rsidRDefault="00BF5D46"/>
    <w:sectPr w:rsidR="00BF5D46" w:rsidSect="00305E01">
      <w:head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ACD44" w14:textId="77777777" w:rsidR="00A86B28" w:rsidRDefault="00A86B28">
      <w:pPr>
        <w:spacing w:before="0" w:after="0" w:line="240" w:lineRule="auto"/>
      </w:pPr>
      <w:r>
        <w:separator/>
      </w:r>
    </w:p>
  </w:endnote>
  <w:endnote w:type="continuationSeparator" w:id="0">
    <w:p w14:paraId="4985DDB4" w14:textId="77777777" w:rsidR="00A86B28" w:rsidRDefault="00A86B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FF114" w14:textId="77777777" w:rsidR="00A86B28" w:rsidRDefault="00A86B28">
      <w:pPr>
        <w:spacing w:before="0" w:after="0" w:line="240" w:lineRule="auto"/>
      </w:pPr>
      <w:r>
        <w:separator/>
      </w:r>
    </w:p>
  </w:footnote>
  <w:footnote w:type="continuationSeparator" w:id="0">
    <w:p w14:paraId="6F889773" w14:textId="77777777" w:rsidR="00A86B28" w:rsidRDefault="00A86B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5145" w14:textId="77777777" w:rsidR="00305E01" w:rsidRDefault="00EB400F">
    <w:pPr>
      <w:pStyle w:val="Header"/>
    </w:pPr>
    <w:r w:rsidRPr="005A198E">
      <w:rPr>
        <w:noProof/>
        <w:lang w:val="en-GB" w:eastAsia="en-GB"/>
      </w:rPr>
      <w:drawing>
        <wp:inline distT="0" distB="0" distL="0" distR="0" wp14:anchorId="6AA7BDDE" wp14:editId="402BEF93">
          <wp:extent cx="2021840" cy="42799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a:stretch>
                    <a:fillRect/>
                  </a:stretch>
                </pic:blipFill>
                <pic:spPr>
                  <a:xfrm>
                    <a:off x="0" y="0"/>
                    <a:ext cx="2207939" cy="467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5D56"/>
    <w:multiLevelType w:val="hybridMultilevel"/>
    <w:tmpl w:val="6BA040C8"/>
    <w:lvl w:ilvl="0" w:tplc="8EA4A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A07AA1"/>
    <w:multiLevelType w:val="hybridMultilevel"/>
    <w:tmpl w:val="1E564124"/>
    <w:lvl w:ilvl="0" w:tplc="54303A30">
      <w:start w:val="1"/>
      <w:numFmt w:val="bullet"/>
      <w:pStyle w:val="ListParagraph"/>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0F"/>
    <w:rsid w:val="00110CA1"/>
    <w:rsid w:val="00151534"/>
    <w:rsid w:val="001F6F97"/>
    <w:rsid w:val="00285EA3"/>
    <w:rsid w:val="005E50F2"/>
    <w:rsid w:val="00A86B28"/>
    <w:rsid w:val="00BF5D46"/>
    <w:rsid w:val="00D01A26"/>
    <w:rsid w:val="00EB40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93F8"/>
  <w15:chartTrackingRefBased/>
  <w15:docId w15:val="{C0AF30EA-3C3A-4DA8-B7C5-D1712745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0F"/>
    <w:pPr>
      <w:spacing w:before="240" w:after="240" w:line="360" w:lineRule="auto"/>
      <w:jc w:val="both"/>
    </w:pPr>
    <w:rPr>
      <w:rFonts w:ascii="Arial Narrow" w:eastAsia="Times New Roman" w:hAnsi="Arial Narrow" w:cs="Arial"/>
      <w:sz w:val="24"/>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0F"/>
    <w:pPr>
      <w:tabs>
        <w:tab w:val="center" w:pos="4419"/>
        <w:tab w:val="right" w:pos="8838"/>
      </w:tabs>
      <w:spacing w:line="240" w:lineRule="auto"/>
    </w:pPr>
  </w:style>
  <w:style w:type="character" w:customStyle="1" w:styleId="HeaderChar">
    <w:name w:val="Header Char"/>
    <w:basedOn w:val="DefaultParagraphFont"/>
    <w:link w:val="Header"/>
    <w:uiPriority w:val="99"/>
    <w:rsid w:val="00EB400F"/>
    <w:rPr>
      <w:rFonts w:ascii="Arial Narrow" w:eastAsia="Times New Roman" w:hAnsi="Arial Narrow" w:cs="Arial"/>
      <w:sz w:val="24"/>
      <w:lang w:val="es-MX" w:eastAsia="es-ES"/>
    </w:rPr>
  </w:style>
  <w:style w:type="paragraph" w:styleId="ListParagraph">
    <w:name w:val="List Paragraph"/>
    <w:basedOn w:val="Normal"/>
    <w:autoRedefine/>
    <w:uiPriority w:val="1"/>
    <w:qFormat/>
    <w:rsid w:val="00EB400F"/>
    <w:pPr>
      <w:numPr>
        <w:numId w:val="2"/>
      </w:numPr>
      <w:autoSpaceDE w:val="0"/>
      <w:autoSpaceDN w:val="0"/>
      <w:adjustRightInd w:val="0"/>
      <w:spacing w:before="0" w:after="0" w:line="240" w:lineRule="auto"/>
      <w:ind w:left="708"/>
      <w:contextualSpacing/>
    </w:pPr>
    <w:rPr>
      <w:rFonts w:eastAsiaTheme="minorEastAsia" w:cs="Times New Roman"/>
      <w:szCs w:val="24"/>
      <w:lang w:val="es-CO" w:eastAsia="ko-KR"/>
    </w:rPr>
  </w:style>
  <w:style w:type="paragraph" w:styleId="NoSpacing">
    <w:name w:val="No Spacing"/>
    <w:uiPriority w:val="1"/>
    <w:qFormat/>
    <w:rsid w:val="00EB400F"/>
    <w:pPr>
      <w:spacing w:after="0" w:line="240" w:lineRule="auto"/>
    </w:pPr>
    <w:rPr>
      <w:lang w:val="en-US"/>
    </w:rPr>
  </w:style>
  <w:style w:type="character" w:styleId="CommentReference">
    <w:name w:val="annotation reference"/>
    <w:basedOn w:val="DefaultParagraphFont"/>
    <w:uiPriority w:val="99"/>
    <w:semiHidden/>
    <w:unhideWhenUsed/>
    <w:rsid w:val="001F6F97"/>
    <w:rPr>
      <w:sz w:val="16"/>
      <w:szCs w:val="16"/>
    </w:rPr>
  </w:style>
  <w:style w:type="paragraph" w:styleId="CommentText">
    <w:name w:val="annotation text"/>
    <w:basedOn w:val="Normal"/>
    <w:link w:val="CommentTextChar"/>
    <w:uiPriority w:val="99"/>
    <w:semiHidden/>
    <w:unhideWhenUsed/>
    <w:rsid w:val="001F6F97"/>
    <w:pPr>
      <w:spacing w:line="240" w:lineRule="auto"/>
    </w:pPr>
    <w:rPr>
      <w:sz w:val="20"/>
      <w:szCs w:val="20"/>
    </w:rPr>
  </w:style>
  <w:style w:type="character" w:customStyle="1" w:styleId="CommentTextChar">
    <w:name w:val="Comment Text Char"/>
    <w:basedOn w:val="DefaultParagraphFont"/>
    <w:link w:val="CommentText"/>
    <w:uiPriority w:val="99"/>
    <w:semiHidden/>
    <w:rsid w:val="001F6F97"/>
    <w:rPr>
      <w:rFonts w:ascii="Arial Narrow" w:eastAsia="Times New Roman" w:hAnsi="Arial Narrow" w:cs="Arial"/>
      <w:sz w:val="20"/>
      <w:szCs w:val="20"/>
      <w:lang w:val="es-MX" w:eastAsia="es-ES"/>
    </w:rPr>
  </w:style>
  <w:style w:type="paragraph" w:styleId="CommentSubject">
    <w:name w:val="annotation subject"/>
    <w:basedOn w:val="CommentText"/>
    <w:next w:val="CommentText"/>
    <w:link w:val="CommentSubjectChar"/>
    <w:uiPriority w:val="99"/>
    <w:semiHidden/>
    <w:unhideWhenUsed/>
    <w:rsid w:val="001F6F97"/>
    <w:rPr>
      <w:b/>
      <w:bCs/>
    </w:rPr>
  </w:style>
  <w:style w:type="character" w:customStyle="1" w:styleId="CommentSubjectChar">
    <w:name w:val="Comment Subject Char"/>
    <w:basedOn w:val="CommentTextChar"/>
    <w:link w:val="CommentSubject"/>
    <w:uiPriority w:val="99"/>
    <w:semiHidden/>
    <w:rsid w:val="001F6F97"/>
    <w:rPr>
      <w:rFonts w:ascii="Arial Narrow" w:eastAsia="Times New Roman" w:hAnsi="Arial Narrow" w:cs="Arial"/>
      <w:b/>
      <w:bCs/>
      <w:sz w:val="20"/>
      <w:szCs w:val="20"/>
      <w:lang w:val="es-MX" w:eastAsia="es-ES"/>
    </w:rPr>
  </w:style>
  <w:style w:type="paragraph" w:styleId="BalloonText">
    <w:name w:val="Balloon Text"/>
    <w:basedOn w:val="Normal"/>
    <w:link w:val="BalloonTextChar"/>
    <w:uiPriority w:val="99"/>
    <w:semiHidden/>
    <w:unhideWhenUsed/>
    <w:rsid w:val="001F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97"/>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3ECB1F-6C73-9B49-A65A-50B5456823BE}" type="doc">
      <dgm:prSet loTypeId="urn:microsoft.com/office/officeart/2005/8/layout/chevron1" loCatId="" qsTypeId="urn:microsoft.com/office/officeart/2005/8/quickstyle/simple1" qsCatId="simple" csTypeId="urn:microsoft.com/office/officeart/2005/8/colors/accent1_4" csCatId="accent1" phldr="1"/>
      <dgm:spPr/>
    </dgm:pt>
    <dgm:pt modelId="{17B91CDC-5215-0145-8F4D-73A1829D55E1}">
      <dgm:prSet phldrT="[Texto]" custT="1"/>
      <dgm:spPr/>
      <dgm:t>
        <a:bodyPr/>
        <a:lstStyle/>
        <a:p>
          <a:r>
            <a:rPr lang="es-ES" sz="800"/>
            <a:t>Proceso 1:  2 semanas</a:t>
          </a:r>
        </a:p>
      </dgm:t>
    </dgm:pt>
    <dgm:pt modelId="{3AC08DDD-8240-FB40-82E0-5FAAEF18C647}" type="parTrans" cxnId="{C38AB99B-B604-104C-86A6-8A51B83BEEB4}">
      <dgm:prSet/>
      <dgm:spPr/>
      <dgm:t>
        <a:bodyPr/>
        <a:lstStyle/>
        <a:p>
          <a:endParaRPr lang="es-ES" sz="800"/>
        </a:p>
      </dgm:t>
    </dgm:pt>
    <dgm:pt modelId="{C26D8788-817F-E242-9AE3-D8795CE15DD1}" type="sibTrans" cxnId="{C38AB99B-B604-104C-86A6-8A51B83BEEB4}">
      <dgm:prSet/>
      <dgm:spPr/>
      <dgm:t>
        <a:bodyPr/>
        <a:lstStyle/>
        <a:p>
          <a:endParaRPr lang="es-ES" sz="800"/>
        </a:p>
      </dgm:t>
    </dgm:pt>
    <dgm:pt modelId="{78FFDA95-1BAF-FC46-BB43-0B7C503A4C36}">
      <dgm:prSet phldrT="[Texto]" custT="1"/>
      <dgm:spPr/>
      <dgm:t>
        <a:bodyPr/>
        <a:lstStyle/>
        <a:p>
          <a:r>
            <a:rPr lang="es-ES" sz="800"/>
            <a:t>Proceso 2:  2 semanas</a:t>
          </a:r>
        </a:p>
      </dgm:t>
    </dgm:pt>
    <dgm:pt modelId="{1599B06D-9C53-8C43-BC6C-9749D9FB14B3}" type="parTrans" cxnId="{460FB5E2-E83D-EB49-B155-E85ECDAF7D77}">
      <dgm:prSet/>
      <dgm:spPr/>
      <dgm:t>
        <a:bodyPr/>
        <a:lstStyle/>
        <a:p>
          <a:endParaRPr lang="es-ES" sz="800"/>
        </a:p>
      </dgm:t>
    </dgm:pt>
    <dgm:pt modelId="{00DCDC4B-229B-8642-A778-C0D2408FDE9F}" type="sibTrans" cxnId="{460FB5E2-E83D-EB49-B155-E85ECDAF7D77}">
      <dgm:prSet/>
      <dgm:spPr/>
      <dgm:t>
        <a:bodyPr/>
        <a:lstStyle/>
        <a:p>
          <a:endParaRPr lang="es-ES" sz="800"/>
        </a:p>
      </dgm:t>
    </dgm:pt>
    <dgm:pt modelId="{15D4798F-7F54-5A4F-AD00-7E2E9BD1AAD5}">
      <dgm:prSet phldrT="[Texto]" custT="1"/>
      <dgm:spPr/>
      <dgm:t>
        <a:bodyPr/>
        <a:lstStyle/>
        <a:p>
          <a:r>
            <a:rPr lang="es-ES" sz="800"/>
            <a:t>Proceso 3: De 2 a 3 semanas</a:t>
          </a:r>
        </a:p>
      </dgm:t>
    </dgm:pt>
    <dgm:pt modelId="{4502F9F3-F233-874E-9FA7-4E5E79CFD381}" type="parTrans" cxnId="{550967DA-5159-A747-A564-B8B16A8B9451}">
      <dgm:prSet/>
      <dgm:spPr/>
      <dgm:t>
        <a:bodyPr/>
        <a:lstStyle/>
        <a:p>
          <a:endParaRPr lang="es-ES" sz="800"/>
        </a:p>
      </dgm:t>
    </dgm:pt>
    <dgm:pt modelId="{5880BB53-1768-5046-9DF3-065C845CD9D1}" type="sibTrans" cxnId="{550967DA-5159-A747-A564-B8B16A8B9451}">
      <dgm:prSet/>
      <dgm:spPr/>
      <dgm:t>
        <a:bodyPr/>
        <a:lstStyle/>
        <a:p>
          <a:endParaRPr lang="es-ES" sz="800"/>
        </a:p>
      </dgm:t>
    </dgm:pt>
    <dgm:pt modelId="{9AECE9F5-8306-A749-80B6-98B809324E94}">
      <dgm:prSet phldrT="[Texto]" custT="1"/>
      <dgm:spPr/>
      <dgm:t>
        <a:bodyPr/>
        <a:lstStyle/>
        <a:p>
          <a:r>
            <a:rPr lang="es-ES" sz="800"/>
            <a:t>Proceso 4: De 4.5 a 10.5 meses</a:t>
          </a:r>
        </a:p>
      </dgm:t>
    </dgm:pt>
    <dgm:pt modelId="{F794E8EB-AE08-674F-BB21-934778762D42}" type="parTrans" cxnId="{F8D8B264-D159-1F4E-B897-C24DA8B4BA25}">
      <dgm:prSet/>
      <dgm:spPr/>
      <dgm:t>
        <a:bodyPr/>
        <a:lstStyle/>
        <a:p>
          <a:endParaRPr lang="es-ES" sz="800"/>
        </a:p>
      </dgm:t>
    </dgm:pt>
    <dgm:pt modelId="{38D8D3F3-B07E-1347-B29E-0E2DE2C4F600}" type="sibTrans" cxnId="{F8D8B264-D159-1F4E-B897-C24DA8B4BA25}">
      <dgm:prSet/>
      <dgm:spPr/>
      <dgm:t>
        <a:bodyPr/>
        <a:lstStyle/>
        <a:p>
          <a:endParaRPr lang="es-ES" sz="800"/>
        </a:p>
      </dgm:t>
    </dgm:pt>
    <dgm:pt modelId="{0193F0B4-94BA-524F-A56A-4C27850E7602}">
      <dgm:prSet phldrT="[Texto]" custT="1"/>
      <dgm:spPr/>
      <dgm:t>
        <a:bodyPr/>
        <a:lstStyle/>
        <a:p>
          <a:r>
            <a:rPr lang="es-ES" sz="800"/>
            <a:t>Proceso 5:  1 semana</a:t>
          </a:r>
        </a:p>
      </dgm:t>
    </dgm:pt>
    <dgm:pt modelId="{EAEFD741-BBF4-2A4D-A25E-5F7702DBF3DB}" type="parTrans" cxnId="{F83A81A4-82C8-0B46-AD88-8B7BB1EBE18C}">
      <dgm:prSet/>
      <dgm:spPr/>
      <dgm:t>
        <a:bodyPr/>
        <a:lstStyle/>
        <a:p>
          <a:endParaRPr lang="es-ES" sz="800"/>
        </a:p>
      </dgm:t>
    </dgm:pt>
    <dgm:pt modelId="{64782E27-0C21-4241-92A5-0A26D39831A1}" type="sibTrans" cxnId="{F83A81A4-82C8-0B46-AD88-8B7BB1EBE18C}">
      <dgm:prSet/>
      <dgm:spPr/>
      <dgm:t>
        <a:bodyPr/>
        <a:lstStyle/>
        <a:p>
          <a:endParaRPr lang="es-ES" sz="800"/>
        </a:p>
      </dgm:t>
    </dgm:pt>
    <dgm:pt modelId="{1004913D-0446-724E-8590-79A9669D8C87}" type="pres">
      <dgm:prSet presAssocID="{B43ECB1F-6C73-9B49-A65A-50B5456823BE}" presName="Name0" presStyleCnt="0">
        <dgm:presLayoutVars>
          <dgm:dir/>
          <dgm:animLvl val="lvl"/>
          <dgm:resizeHandles val="exact"/>
        </dgm:presLayoutVars>
      </dgm:prSet>
      <dgm:spPr/>
    </dgm:pt>
    <dgm:pt modelId="{670D4721-A182-4046-9369-409A82FB397A}" type="pres">
      <dgm:prSet presAssocID="{17B91CDC-5215-0145-8F4D-73A1829D55E1}" presName="parTxOnly" presStyleLbl="node1" presStyleIdx="0" presStyleCnt="5" custScaleX="74611">
        <dgm:presLayoutVars>
          <dgm:chMax val="0"/>
          <dgm:chPref val="0"/>
          <dgm:bulletEnabled val="1"/>
        </dgm:presLayoutVars>
      </dgm:prSet>
      <dgm:spPr/>
      <dgm:t>
        <a:bodyPr/>
        <a:lstStyle/>
        <a:p>
          <a:endParaRPr lang="es-CO"/>
        </a:p>
      </dgm:t>
    </dgm:pt>
    <dgm:pt modelId="{FFDCFCE6-105E-4848-AA36-7BEE0848A7A2}" type="pres">
      <dgm:prSet presAssocID="{C26D8788-817F-E242-9AE3-D8795CE15DD1}" presName="parTxOnlySpace" presStyleCnt="0"/>
      <dgm:spPr/>
    </dgm:pt>
    <dgm:pt modelId="{EFF62B61-FC2A-034C-BFE5-2A375E6500FA}" type="pres">
      <dgm:prSet presAssocID="{78FFDA95-1BAF-FC46-BB43-0B7C503A4C36}" presName="parTxOnly" presStyleLbl="node1" presStyleIdx="1" presStyleCnt="5" custScaleX="74113">
        <dgm:presLayoutVars>
          <dgm:chMax val="0"/>
          <dgm:chPref val="0"/>
          <dgm:bulletEnabled val="1"/>
        </dgm:presLayoutVars>
      </dgm:prSet>
      <dgm:spPr/>
      <dgm:t>
        <a:bodyPr/>
        <a:lstStyle/>
        <a:p>
          <a:endParaRPr lang="es-CO"/>
        </a:p>
      </dgm:t>
    </dgm:pt>
    <dgm:pt modelId="{389CCEE9-3CE4-D04C-8A86-18EC0075C2BD}" type="pres">
      <dgm:prSet presAssocID="{00DCDC4B-229B-8642-A778-C0D2408FDE9F}" presName="parTxOnlySpace" presStyleCnt="0"/>
      <dgm:spPr/>
    </dgm:pt>
    <dgm:pt modelId="{D6409E6B-AFD5-6147-A9C8-D45322E05832}" type="pres">
      <dgm:prSet presAssocID="{15D4798F-7F54-5A4F-AD00-7E2E9BD1AAD5}" presName="parTxOnly" presStyleLbl="node1" presStyleIdx="2" presStyleCnt="5" custScaleX="72042">
        <dgm:presLayoutVars>
          <dgm:chMax val="0"/>
          <dgm:chPref val="0"/>
          <dgm:bulletEnabled val="1"/>
        </dgm:presLayoutVars>
      </dgm:prSet>
      <dgm:spPr/>
      <dgm:t>
        <a:bodyPr/>
        <a:lstStyle/>
        <a:p>
          <a:endParaRPr lang="es-CO"/>
        </a:p>
      </dgm:t>
    </dgm:pt>
    <dgm:pt modelId="{C9CC270C-411F-AE45-9A7B-38422DE2B796}" type="pres">
      <dgm:prSet presAssocID="{5880BB53-1768-5046-9DF3-065C845CD9D1}" presName="parTxOnlySpace" presStyleCnt="0"/>
      <dgm:spPr/>
    </dgm:pt>
    <dgm:pt modelId="{725D0464-22C6-8A4C-A65A-62A12D7DE95C}" type="pres">
      <dgm:prSet presAssocID="{9AECE9F5-8306-A749-80B6-98B809324E94}" presName="parTxOnly" presStyleLbl="node1" presStyleIdx="3" presStyleCnt="5">
        <dgm:presLayoutVars>
          <dgm:chMax val="0"/>
          <dgm:chPref val="0"/>
          <dgm:bulletEnabled val="1"/>
        </dgm:presLayoutVars>
      </dgm:prSet>
      <dgm:spPr/>
      <dgm:t>
        <a:bodyPr/>
        <a:lstStyle/>
        <a:p>
          <a:endParaRPr lang="es-CO"/>
        </a:p>
      </dgm:t>
    </dgm:pt>
    <dgm:pt modelId="{2DA9A3CF-DF9B-184E-96EC-21ADE953A6DE}" type="pres">
      <dgm:prSet presAssocID="{38D8D3F3-B07E-1347-B29E-0E2DE2C4F600}" presName="parTxOnlySpace" presStyleCnt="0"/>
      <dgm:spPr/>
    </dgm:pt>
    <dgm:pt modelId="{B725440C-DF4B-9E41-BCB9-488DCB6696B3}" type="pres">
      <dgm:prSet presAssocID="{0193F0B4-94BA-524F-A56A-4C27850E7602}" presName="parTxOnly" presStyleLbl="node1" presStyleIdx="4" presStyleCnt="5" custScaleX="75074">
        <dgm:presLayoutVars>
          <dgm:chMax val="0"/>
          <dgm:chPref val="0"/>
          <dgm:bulletEnabled val="1"/>
        </dgm:presLayoutVars>
      </dgm:prSet>
      <dgm:spPr/>
      <dgm:t>
        <a:bodyPr/>
        <a:lstStyle/>
        <a:p>
          <a:endParaRPr lang="es-CO"/>
        </a:p>
      </dgm:t>
    </dgm:pt>
  </dgm:ptLst>
  <dgm:cxnLst>
    <dgm:cxn modelId="{F8D8B264-D159-1F4E-B897-C24DA8B4BA25}" srcId="{B43ECB1F-6C73-9B49-A65A-50B5456823BE}" destId="{9AECE9F5-8306-A749-80B6-98B809324E94}" srcOrd="3" destOrd="0" parTransId="{F794E8EB-AE08-674F-BB21-934778762D42}" sibTransId="{38D8D3F3-B07E-1347-B29E-0E2DE2C4F600}"/>
    <dgm:cxn modelId="{F52A2C21-53BE-4BB9-8394-1BD83DCB7377}" type="presOf" srcId="{78FFDA95-1BAF-FC46-BB43-0B7C503A4C36}" destId="{EFF62B61-FC2A-034C-BFE5-2A375E6500FA}" srcOrd="0" destOrd="0" presId="urn:microsoft.com/office/officeart/2005/8/layout/chevron1"/>
    <dgm:cxn modelId="{F83A81A4-82C8-0B46-AD88-8B7BB1EBE18C}" srcId="{B43ECB1F-6C73-9B49-A65A-50B5456823BE}" destId="{0193F0B4-94BA-524F-A56A-4C27850E7602}" srcOrd="4" destOrd="0" parTransId="{EAEFD741-BBF4-2A4D-A25E-5F7702DBF3DB}" sibTransId="{64782E27-0C21-4241-92A5-0A26D39831A1}"/>
    <dgm:cxn modelId="{D8A98F35-534A-43DA-AED6-4994EF2F2D6D}" type="presOf" srcId="{9AECE9F5-8306-A749-80B6-98B809324E94}" destId="{725D0464-22C6-8A4C-A65A-62A12D7DE95C}" srcOrd="0" destOrd="0" presId="urn:microsoft.com/office/officeart/2005/8/layout/chevron1"/>
    <dgm:cxn modelId="{460FB5E2-E83D-EB49-B155-E85ECDAF7D77}" srcId="{B43ECB1F-6C73-9B49-A65A-50B5456823BE}" destId="{78FFDA95-1BAF-FC46-BB43-0B7C503A4C36}" srcOrd="1" destOrd="0" parTransId="{1599B06D-9C53-8C43-BC6C-9749D9FB14B3}" sibTransId="{00DCDC4B-229B-8642-A778-C0D2408FDE9F}"/>
    <dgm:cxn modelId="{43BB558C-09CD-4E68-81FF-9421E7002135}" type="presOf" srcId="{17B91CDC-5215-0145-8F4D-73A1829D55E1}" destId="{670D4721-A182-4046-9369-409A82FB397A}" srcOrd="0" destOrd="0" presId="urn:microsoft.com/office/officeart/2005/8/layout/chevron1"/>
    <dgm:cxn modelId="{6CE99646-ECC0-477F-8AB4-C339390C1984}" type="presOf" srcId="{0193F0B4-94BA-524F-A56A-4C27850E7602}" destId="{B725440C-DF4B-9E41-BCB9-488DCB6696B3}" srcOrd="0" destOrd="0" presId="urn:microsoft.com/office/officeart/2005/8/layout/chevron1"/>
    <dgm:cxn modelId="{550967DA-5159-A747-A564-B8B16A8B9451}" srcId="{B43ECB1F-6C73-9B49-A65A-50B5456823BE}" destId="{15D4798F-7F54-5A4F-AD00-7E2E9BD1AAD5}" srcOrd="2" destOrd="0" parTransId="{4502F9F3-F233-874E-9FA7-4E5E79CFD381}" sibTransId="{5880BB53-1768-5046-9DF3-065C845CD9D1}"/>
    <dgm:cxn modelId="{C38AB99B-B604-104C-86A6-8A51B83BEEB4}" srcId="{B43ECB1F-6C73-9B49-A65A-50B5456823BE}" destId="{17B91CDC-5215-0145-8F4D-73A1829D55E1}" srcOrd="0" destOrd="0" parTransId="{3AC08DDD-8240-FB40-82E0-5FAAEF18C647}" sibTransId="{C26D8788-817F-E242-9AE3-D8795CE15DD1}"/>
    <dgm:cxn modelId="{2020E1B0-A84B-447B-A769-DD234723A819}" type="presOf" srcId="{15D4798F-7F54-5A4F-AD00-7E2E9BD1AAD5}" destId="{D6409E6B-AFD5-6147-A9C8-D45322E05832}" srcOrd="0" destOrd="0" presId="urn:microsoft.com/office/officeart/2005/8/layout/chevron1"/>
    <dgm:cxn modelId="{CC592ECB-AD03-4B3E-BF8C-1E8A3CF97A07}" type="presOf" srcId="{B43ECB1F-6C73-9B49-A65A-50B5456823BE}" destId="{1004913D-0446-724E-8590-79A9669D8C87}" srcOrd="0" destOrd="0" presId="urn:microsoft.com/office/officeart/2005/8/layout/chevron1"/>
    <dgm:cxn modelId="{B9204E6F-3602-4DD2-B793-EA6873B339E4}" type="presParOf" srcId="{1004913D-0446-724E-8590-79A9669D8C87}" destId="{670D4721-A182-4046-9369-409A82FB397A}" srcOrd="0" destOrd="0" presId="urn:microsoft.com/office/officeart/2005/8/layout/chevron1"/>
    <dgm:cxn modelId="{DAF92F4D-F48F-48C5-ABBE-901BF2E95928}" type="presParOf" srcId="{1004913D-0446-724E-8590-79A9669D8C87}" destId="{FFDCFCE6-105E-4848-AA36-7BEE0848A7A2}" srcOrd="1" destOrd="0" presId="urn:microsoft.com/office/officeart/2005/8/layout/chevron1"/>
    <dgm:cxn modelId="{3083A30B-21EF-45C2-83C7-4E07AE270501}" type="presParOf" srcId="{1004913D-0446-724E-8590-79A9669D8C87}" destId="{EFF62B61-FC2A-034C-BFE5-2A375E6500FA}" srcOrd="2" destOrd="0" presId="urn:microsoft.com/office/officeart/2005/8/layout/chevron1"/>
    <dgm:cxn modelId="{179239B7-6045-4264-BA46-3BC1C99AE036}" type="presParOf" srcId="{1004913D-0446-724E-8590-79A9669D8C87}" destId="{389CCEE9-3CE4-D04C-8A86-18EC0075C2BD}" srcOrd="3" destOrd="0" presId="urn:microsoft.com/office/officeart/2005/8/layout/chevron1"/>
    <dgm:cxn modelId="{7B5A83F2-76A4-42EF-987F-DB08CB5ADED2}" type="presParOf" srcId="{1004913D-0446-724E-8590-79A9669D8C87}" destId="{D6409E6B-AFD5-6147-A9C8-D45322E05832}" srcOrd="4" destOrd="0" presId="urn:microsoft.com/office/officeart/2005/8/layout/chevron1"/>
    <dgm:cxn modelId="{17820421-1E85-490D-8199-983211B1EEFB}" type="presParOf" srcId="{1004913D-0446-724E-8590-79A9669D8C87}" destId="{C9CC270C-411F-AE45-9A7B-38422DE2B796}" srcOrd="5" destOrd="0" presId="urn:microsoft.com/office/officeart/2005/8/layout/chevron1"/>
    <dgm:cxn modelId="{6ED81840-F32D-4856-96BE-E94BAE30CC24}" type="presParOf" srcId="{1004913D-0446-724E-8590-79A9669D8C87}" destId="{725D0464-22C6-8A4C-A65A-62A12D7DE95C}" srcOrd="6" destOrd="0" presId="urn:microsoft.com/office/officeart/2005/8/layout/chevron1"/>
    <dgm:cxn modelId="{AB00B524-0974-469E-A139-CD9FA01F5A24}" type="presParOf" srcId="{1004913D-0446-724E-8590-79A9669D8C87}" destId="{2DA9A3CF-DF9B-184E-96EC-21ADE953A6DE}" srcOrd="7" destOrd="0" presId="urn:microsoft.com/office/officeart/2005/8/layout/chevron1"/>
    <dgm:cxn modelId="{400B2416-FAFD-4723-9098-47FD86F4BE6E}" type="presParOf" srcId="{1004913D-0446-724E-8590-79A9669D8C87}" destId="{B725440C-DF4B-9E41-BCB9-488DCB6696B3}"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0D4721-A182-4046-9369-409A82FB397A}">
      <dsp:nvSpPr>
        <dsp:cNvPr id="0" name=""/>
        <dsp:cNvSpPr/>
      </dsp:nvSpPr>
      <dsp:spPr>
        <a:xfrm>
          <a:off x="2365" y="0"/>
          <a:ext cx="1057300" cy="278969"/>
        </a:xfrm>
        <a:prstGeom prst="chevron">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s-ES" sz="800" kern="1200"/>
            <a:t>Proceso 1:  2 semanas</a:t>
          </a:r>
        </a:p>
      </dsp:txBody>
      <dsp:txXfrm>
        <a:off x="141850" y="0"/>
        <a:ext cx="778331" cy="278969"/>
      </dsp:txXfrm>
    </dsp:sp>
    <dsp:sp modelId="{EFF62B61-FC2A-034C-BFE5-2A375E6500FA}">
      <dsp:nvSpPr>
        <dsp:cNvPr id="0" name=""/>
        <dsp:cNvSpPr/>
      </dsp:nvSpPr>
      <dsp:spPr>
        <a:xfrm>
          <a:off x="917957" y="0"/>
          <a:ext cx="1050242" cy="278969"/>
        </a:xfrm>
        <a:prstGeom prst="chevron">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s-ES" sz="800" kern="1200"/>
            <a:t>Proceso 2:  2 semanas</a:t>
          </a:r>
        </a:p>
      </dsp:txBody>
      <dsp:txXfrm>
        <a:off x="1057442" y="0"/>
        <a:ext cx="771273" cy="278969"/>
      </dsp:txXfrm>
    </dsp:sp>
    <dsp:sp modelId="{D6409E6B-AFD5-6147-A9C8-D45322E05832}">
      <dsp:nvSpPr>
        <dsp:cNvPr id="0" name=""/>
        <dsp:cNvSpPr/>
      </dsp:nvSpPr>
      <dsp:spPr>
        <a:xfrm>
          <a:off x="1826492" y="0"/>
          <a:ext cx="1020895" cy="278969"/>
        </a:xfrm>
        <a:prstGeom prst="chevron">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s-ES" sz="800" kern="1200"/>
            <a:t>Proceso 3: De 2 a 3 semanas</a:t>
          </a:r>
        </a:p>
      </dsp:txBody>
      <dsp:txXfrm>
        <a:off x="1965977" y="0"/>
        <a:ext cx="741926" cy="278969"/>
      </dsp:txXfrm>
    </dsp:sp>
    <dsp:sp modelId="{725D0464-22C6-8A4C-A65A-62A12D7DE95C}">
      <dsp:nvSpPr>
        <dsp:cNvPr id="0" name=""/>
        <dsp:cNvSpPr/>
      </dsp:nvSpPr>
      <dsp:spPr>
        <a:xfrm>
          <a:off x="2705679" y="0"/>
          <a:ext cx="1417083" cy="278969"/>
        </a:xfrm>
        <a:prstGeom prst="chevron">
          <a:avLst/>
        </a:prstGeom>
        <a:solidFill>
          <a:schemeClr val="accent1">
            <a:shade val="50000"/>
            <a:hueOff val="267407"/>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s-ES" sz="800" kern="1200"/>
            <a:t>Proceso 4: De 4.5 a 10.5 meses</a:t>
          </a:r>
        </a:p>
      </dsp:txBody>
      <dsp:txXfrm>
        <a:off x="2845164" y="0"/>
        <a:ext cx="1138114" cy="278969"/>
      </dsp:txXfrm>
    </dsp:sp>
    <dsp:sp modelId="{B725440C-DF4B-9E41-BCB9-488DCB6696B3}">
      <dsp:nvSpPr>
        <dsp:cNvPr id="0" name=""/>
        <dsp:cNvSpPr/>
      </dsp:nvSpPr>
      <dsp:spPr>
        <a:xfrm>
          <a:off x="3981053" y="0"/>
          <a:ext cx="1063861" cy="278969"/>
        </a:xfrm>
        <a:prstGeom prst="chevron">
          <a:avLst/>
        </a:prstGeom>
        <a:solidFill>
          <a:schemeClr val="accent1">
            <a:shade val="50000"/>
            <a:hueOff val="133703"/>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s-ES" sz="800" kern="1200"/>
            <a:t>Proceso 5:  1 semana</a:t>
          </a:r>
        </a:p>
      </dsp:txBody>
      <dsp:txXfrm>
        <a:off x="4120538" y="0"/>
        <a:ext cx="784892" cy="2789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4509A74BAABC4CBBFCEA243117389D" ma:contentTypeVersion="0" ma:contentTypeDescription="Crear nuevo documento." ma:contentTypeScope="" ma:versionID="4426d6466c359451e1322fefd2bf715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8FDA0-BE0B-4223-AEC7-7DEEF6DC1BD6}"/>
</file>

<file path=customXml/itemProps2.xml><?xml version="1.0" encoding="utf-8"?>
<ds:datastoreItem xmlns:ds="http://schemas.openxmlformats.org/officeDocument/2006/customXml" ds:itemID="{11BBA33C-875A-481B-A35F-30F2A6569E46}"/>
</file>

<file path=customXml/itemProps3.xml><?xml version="1.0" encoding="utf-8"?>
<ds:datastoreItem xmlns:ds="http://schemas.openxmlformats.org/officeDocument/2006/customXml" ds:itemID="{C6050C7A-D5FF-416C-A689-A8EB2A536F87}"/>
</file>

<file path=docProps/app.xml><?xml version="1.0" encoding="utf-8"?>
<Properties xmlns="http://schemas.openxmlformats.org/officeDocument/2006/extended-properties" xmlns:vt="http://schemas.openxmlformats.org/officeDocument/2006/docPropsVTypes">
  <Template>Normal</Template>
  <TotalTime>20</TotalTime>
  <Pages>6</Pages>
  <Words>2083</Words>
  <Characters>11878</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Deysi Del Pilar Cruz Garcia</dc:creator>
  <cp:keywords/>
  <dc:description/>
  <cp:lastModifiedBy>Allison Benson</cp:lastModifiedBy>
  <cp:revision>4</cp:revision>
  <dcterms:created xsi:type="dcterms:W3CDTF">2020-05-12T23:14:00Z</dcterms:created>
  <dcterms:modified xsi:type="dcterms:W3CDTF">2020-06-01T22:18:00Z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0x010100294509A74BAABC4CBBFCEA243117389D</vt:lpwstr>
  </property>
</Properties>
</file>